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30EFD" w14:textId="4740570A" w:rsidR="00623407" w:rsidRDefault="00623407" w:rsidP="006469CC">
      <w:pPr>
        <w:pStyle w:val="ListParagraph"/>
        <w:rPr>
          <w:i/>
          <w:iCs/>
        </w:rPr>
      </w:pPr>
    </w:p>
    <w:sdt>
      <w:sdtPr>
        <w:rPr>
          <w:i/>
          <w:iCs/>
        </w:rPr>
        <w:id w:val="-1442289537"/>
        <w:docPartObj>
          <w:docPartGallery w:val="Cover Pages"/>
          <w:docPartUnique/>
        </w:docPartObj>
      </w:sdtPr>
      <w:sdtEndPr>
        <w:rPr>
          <w:i w:val="0"/>
          <w:iCs w:val="0"/>
        </w:rPr>
      </w:sdtEndPr>
      <w:sdtContent>
        <w:p w14:paraId="32331036" w14:textId="48D957A9" w:rsidR="00A97160" w:rsidRPr="00166D30" w:rsidRDefault="00A97160" w:rsidP="006469CC">
          <w:pPr>
            <w:pStyle w:val="ListParagraph"/>
            <w:rPr>
              <w:i/>
            </w:rPr>
          </w:pPr>
          <w:r w:rsidRPr="00166D30">
            <w:rPr>
              <w:i/>
              <w:noProof/>
            </w:rPr>
            <w:drawing>
              <wp:anchor distT="0" distB="0" distL="114300" distR="114300" simplePos="0" relativeHeight="251658241" behindDoc="1" locked="0" layoutInCell="1" allowOverlap="1" wp14:anchorId="6C37A3B5" wp14:editId="6A1761C6">
                <wp:simplePos x="0" y="0"/>
                <wp:positionH relativeFrom="margin">
                  <wp:posOffset>-909955</wp:posOffset>
                </wp:positionH>
                <wp:positionV relativeFrom="page">
                  <wp:posOffset>-18560</wp:posOffset>
                </wp:positionV>
                <wp:extent cx="7570800" cy="107090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1AECC" w14:textId="77777777" w:rsidR="00A97160" w:rsidRPr="006D0240" w:rsidRDefault="00A97160" w:rsidP="00301755">
          <w:pPr>
            <w:pStyle w:val="Header"/>
            <w:spacing w:after="1200"/>
          </w:pPr>
        </w:p>
        <w:p w14:paraId="179BC505" w14:textId="10AFEAD7" w:rsidR="00A97160" w:rsidRPr="006923DF" w:rsidRDefault="009A453B" w:rsidP="002A7A31">
          <w:pPr>
            <w:pStyle w:val="Title"/>
            <w:tabs>
              <w:tab w:val="left" w:pos="6379"/>
            </w:tabs>
            <w:spacing w:after="120" w:line="720" w:lineRule="exact"/>
            <w:ind w:right="1982"/>
          </w:pPr>
          <w:r w:rsidRPr="009C1AA3">
            <w:rPr>
              <w:rFonts w:asciiTheme="majorHAnsi" w:hAnsiTheme="majorHAnsi" w:cstheme="majorHAnsi"/>
            </w:rPr>
            <w:t>Merger Reform:</w:t>
          </w:r>
          <w:r>
            <w:br/>
            <w:t xml:space="preserve">A </w:t>
          </w:r>
          <w:r w:rsidR="009E6C11">
            <w:t xml:space="preserve">Faster, </w:t>
          </w:r>
          <w:r w:rsidR="00673EC6">
            <w:t>S</w:t>
          </w:r>
          <w:r w:rsidR="00790A96">
            <w:t xml:space="preserve">tronger </w:t>
          </w:r>
          <w:r w:rsidR="009E6C11">
            <w:t xml:space="preserve">and Simpler </w:t>
          </w:r>
          <w:r w:rsidR="00E6483B">
            <w:t>System</w:t>
          </w:r>
          <w:r>
            <w:t xml:space="preserve"> for a </w:t>
          </w:r>
          <w:r w:rsidR="007202BC" w:rsidRPr="007202BC">
            <w:t>More Competitive Economy</w:t>
          </w:r>
        </w:p>
        <w:p w14:paraId="4DE1FC80" w14:textId="77777777" w:rsidR="00A97160" w:rsidRPr="006923DF" w:rsidRDefault="00A97160" w:rsidP="004C2902">
          <w:pPr>
            <w:pStyle w:val="Subtitle"/>
            <w:spacing w:after="360"/>
          </w:pPr>
          <w:r w:rsidRPr="006923DF">
            <w:fldChar w:fldCharType="begin"/>
          </w:r>
          <w:r w:rsidRPr="006923DF">
            <w:instrText xml:space="preserve"> macrobutton NoMacro [Sub title]</w:instrText>
          </w:r>
          <w:r w:rsidRPr="006923DF">
            <w:fldChar w:fldCharType="end"/>
          </w:r>
        </w:p>
        <w:p w14:paraId="71A0905D" w14:textId="1273F331" w:rsidR="00A97160" w:rsidRPr="00586605" w:rsidRDefault="00812F82" w:rsidP="006923DF">
          <w:pPr>
            <w:pStyle w:val="ReportDate"/>
          </w:pPr>
          <w:r>
            <w:rPr>
              <w:rStyle w:val="ReportDateChar"/>
            </w:rPr>
            <w:t xml:space="preserve">10 April </w:t>
          </w:r>
          <w:r w:rsidR="009A453B">
            <w:rPr>
              <w:rStyle w:val="ReportDateChar"/>
            </w:rPr>
            <w:t>2024</w:t>
          </w:r>
        </w:p>
        <w:p w14:paraId="37CF4622" w14:textId="77777777" w:rsidR="00A97160" w:rsidRDefault="00A97160">
          <w:pPr>
            <w:spacing w:before="0" w:after="160" w:line="259" w:lineRule="auto"/>
            <w:rPr>
              <w:noProof/>
            </w:rPr>
          </w:pPr>
        </w:p>
        <w:p w14:paraId="0197B976" w14:textId="24137386" w:rsidR="00A97160" w:rsidRDefault="00A97160">
          <w:pPr>
            <w:spacing w:before="0" w:after="160" w:line="259" w:lineRule="auto"/>
          </w:pPr>
          <w:r>
            <w:br w:type="page"/>
          </w:r>
        </w:p>
      </w:sdtContent>
    </w:sdt>
    <w:p w14:paraId="75B9DDA5" w14:textId="759C6A07" w:rsidR="000E0B74" w:rsidRDefault="000E0B74" w:rsidP="005877AC">
      <w:pPr>
        <w:spacing w:before="0" w:after="160" w:line="259" w:lineRule="auto"/>
      </w:pPr>
      <w:r w:rsidRPr="00661BF0">
        <w:lastRenderedPageBreak/>
        <w:t xml:space="preserve">© Commonwealth of Australia </w:t>
      </w:r>
      <w:r w:rsidRPr="009C1AA3">
        <w:t>20</w:t>
      </w:r>
      <w:r w:rsidR="00D64CEC" w:rsidRPr="009C1AA3">
        <w:t>2</w:t>
      </w:r>
      <w:r w:rsidR="009C1AA3" w:rsidRPr="009C1AA3">
        <w:t>4</w:t>
      </w:r>
    </w:p>
    <w:p w14:paraId="767904F0" w14:textId="72409ED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3"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1BBF7116" w14:textId="77777777" w:rsidR="000E0B74" w:rsidRDefault="000E0B74" w:rsidP="000E0B74">
      <w:pPr>
        <w:pStyle w:val="ChartGraphic"/>
        <w:jc w:val="left"/>
      </w:pPr>
      <w:r w:rsidRPr="00E56DFB">
        <w:rPr>
          <w:noProof/>
        </w:rPr>
        <w:drawing>
          <wp:inline distT="0" distB="0" distL="0" distR="0" wp14:anchorId="61B4ECB0" wp14:editId="74E8FE9D">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A622340" w14:textId="762FDF5C"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5"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41EF01F3" w14:textId="2598C5BC" w:rsidR="000E0B74" w:rsidRPr="006469CC" w:rsidRDefault="000E0B74" w:rsidP="006469CC">
      <w:pPr>
        <w:spacing w:before="240"/>
        <w:rPr>
          <w:b/>
        </w:rPr>
      </w:pPr>
      <w:r w:rsidRPr="006469CC">
        <w:rPr>
          <w:b/>
        </w:rPr>
        <w:t>Treasury material used ‘as supplied’</w:t>
      </w:r>
    </w:p>
    <w:p w14:paraId="092AADDC"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55C7796" w14:textId="14E4BC11" w:rsidR="000E0B74" w:rsidRPr="00A13A11" w:rsidRDefault="000E0B74" w:rsidP="000E0B74">
      <w:pPr>
        <w:ind w:firstLine="720"/>
      </w:pPr>
      <w:r w:rsidRPr="002F1BC2">
        <w:rPr>
          <w:i/>
        </w:rPr>
        <w:t xml:space="preserve">Source: The </w:t>
      </w:r>
      <w:r w:rsidRPr="002F1BC2">
        <w:rPr>
          <w:i/>
          <w:iCs/>
        </w:rPr>
        <w:t xml:space="preserve">Australian Government the Treasury </w:t>
      </w:r>
    </w:p>
    <w:p w14:paraId="076484D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64913A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C83EEEC" w14:textId="3CDABDF0" w:rsidR="000E0B74" w:rsidRPr="006627B4" w:rsidRDefault="000E0B74" w:rsidP="000E0B74">
      <w:pPr>
        <w:ind w:firstLine="720"/>
      </w:pPr>
      <w:r w:rsidRPr="002F1BC2">
        <w:rPr>
          <w:i/>
        </w:rPr>
        <w:t>Based on The Australian Government the Treasury data</w:t>
      </w:r>
      <w:r>
        <w:t>.</w:t>
      </w:r>
    </w:p>
    <w:p w14:paraId="5C7193DF" w14:textId="77777777" w:rsidR="000E0B74" w:rsidRPr="006627B4" w:rsidRDefault="000E0B74" w:rsidP="000E0B74">
      <w:pPr>
        <w:spacing w:before="240"/>
        <w:rPr>
          <w:b/>
        </w:rPr>
      </w:pPr>
      <w:r w:rsidRPr="006627B4">
        <w:rPr>
          <w:b/>
        </w:rPr>
        <w:t>Use of the Coat of Arms</w:t>
      </w:r>
    </w:p>
    <w:p w14:paraId="0C42BE70" w14:textId="2DF80B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6" w:history="1">
        <w:r w:rsidR="00D64CEC">
          <w:rPr>
            <w:rStyle w:val="Hyperlink"/>
          </w:rPr>
          <w:t>https://www.pmc.gov.au/honours-and-symbols/commonwealth-coat-arms</w:t>
        </w:r>
      </w:hyperlink>
      <w:r w:rsidRPr="005C503A">
        <w:t>).</w:t>
      </w:r>
    </w:p>
    <w:p w14:paraId="77907BCB" w14:textId="77777777" w:rsidR="000E0B74" w:rsidRPr="006627B4" w:rsidRDefault="000E0B74" w:rsidP="000E0B74">
      <w:pPr>
        <w:spacing w:before="240"/>
        <w:rPr>
          <w:b/>
        </w:rPr>
      </w:pPr>
      <w:r>
        <w:rPr>
          <w:b/>
        </w:rPr>
        <w:t>Other u</w:t>
      </w:r>
      <w:r w:rsidRPr="006627B4">
        <w:rPr>
          <w:b/>
        </w:rPr>
        <w:t>ses</w:t>
      </w:r>
    </w:p>
    <w:p w14:paraId="7CEA01EB" w14:textId="77777777" w:rsidR="000E0B74" w:rsidRPr="006627B4" w:rsidRDefault="000E0B74" w:rsidP="000E0B74">
      <w:r>
        <w:t>E</w:t>
      </w:r>
      <w:r w:rsidRPr="006627B4">
        <w:t>nquiries regarding this licence and any other use of this document are welcome at:</w:t>
      </w:r>
    </w:p>
    <w:p w14:paraId="38589938" w14:textId="517CF2B1"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w:t>
      </w:r>
      <w:r>
        <w:t xml:space="preserve"> </w:t>
      </w:r>
      <w:r w:rsidRPr="006627B4">
        <w:t>ACT 2600</w:t>
      </w:r>
      <w:r>
        <w:br/>
      </w:r>
      <w:r w:rsidRPr="006627B4">
        <w:t xml:space="preserve">Email: </w:t>
      </w:r>
      <w:hyperlink r:id="rId17" w:history="1">
        <w:r w:rsidR="00386297">
          <w:rPr>
            <w:rStyle w:val="Hyperlink"/>
          </w:rPr>
          <w:t>media@treasury.gov.au</w:t>
        </w:r>
      </w:hyperlink>
    </w:p>
    <w:p w14:paraId="39FAD522" w14:textId="77777777" w:rsidR="00F836F9" w:rsidRDefault="00F836F9" w:rsidP="000E0B74">
      <w:pPr>
        <w:pStyle w:val="Heading1"/>
        <w:sectPr w:rsidR="00F836F9" w:rsidSect="00CF4978">
          <w:headerReference w:type="even" r:id="rId18"/>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0"/>
          <w:cols w:space="708"/>
          <w:titlePg/>
          <w:docGrid w:linePitch="360"/>
        </w:sectPr>
      </w:pPr>
    </w:p>
    <w:p w14:paraId="79934F61" w14:textId="4E62A3E8" w:rsidR="006252D5" w:rsidRDefault="006252D5" w:rsidP="006252D5">
      <w:pPr>
        <w:pStyle w:val="Heading1"/>
      </w:pPr>
      <w:bookmarkStart w:id="0" w:name="_Toc163224391"/>
      <w:bookmarkStart w:id="1" w:name="_Toc163550080"/>
      <w:r>
        <w:lastRenderedPageBreak/>
        <w:t>Contents</w:t>
      </w:r>
      <w:bookmarkEnd w:id="0"/>
      <w:bookmarkEnd w:id="1"/>
    </w:p>
    <w:p w14:paraId="61162859" w14:textId="6FDFEA19" w:rsidR="00693D01" w:rsidRDefault="00E54143">
      <w:pPr>
        <w:pStyle w:val="TOC1"/>
        <w:rPr>
          <w:rFonts w:asciiTheme="minorHAnsi" w:eastAsiaTheme="minorEastAsia" w:hAnsiTheme="minorHAnsi" w:cstheme="minorBidi"/>
          <w:b w:val="0"/>
          <w:color w:val="auto"/>
          <w:kern w:val="2"/>
          <w14:ligatures w14:val="standardContextual"/>
        </w:rPr>
      </w:pPr>
      <w:r>
        <w:fldChar w:fldCharType="begin"/>
      </w:r>
      <w:r w:rsidR="00FB66BB">
        <w:instrText>TOC \o "1-3" \h \z \u</w:instrText>
      </w:r>
      <w:r>
        <w:fldChar w:fldCharType="separate"/>
      </w:r>
      <w:hyperlink w:anchor="_Toc163550080" w:history="1"/>
    </w:p>
    <w:p w14:paraId="2A16C80F" w14:textId="68ACBB4B" w:rsidR="00693D01" w:rsidRDefault="00BD1A86">
      <w:pPr>
        <w:pStyle w:val="TOC1"/>
        <w:rPr>
          <w:rFonts w:asciiTheme="minorHAnsi" w:eastAsiaTheme="minorEastAsia" w:hAnsiTheme="minorHAnsi" w:cstheme="minorBidi"/>
          <w:b w:val="0"/>
          <w:color w:val="auto"/>
          <w:kern w:val="2"/>
          <w14:ligatures w14:val="standardContextual"/>
        </w:rPr>
      </w:pPr>
      <w:hyperlink w:anchor="_Toc163550081" w:history="1">
        <w:r w:rsidR="00693D01" w:rsidRPr="00056BB4">
          <w:rPr>
            <w:rStyle w:val="Hyperlink"/>
          </w:rPr>
          <w:t>A faster, stronger and simpler merger system</w:t>
        </w:r>
        <w:r w:rsidR="00693D01">
          <w:rPr>
            <w:webHidden/>
          </w:rPr>
          <w:tab/>
        </w:r>
        <w:r w:rsidR="00693D01">
          <w:rPr>
            <w:webHidden/>
          </w:rPr>
          <w:fldChar w:fldCharType="begin"/>
        </w:r>
        <w:r w:rsidR="00693D01">
          <w:rPr>
            <w:webHidden/>
          </w:rPr>
          <w:instrText xml:space="preserve"> PAGEREF _Toc163550081 \h </w:instrText>
        </w:r>
        <w:r w:rsidR="00693D01">
          <w:rPr>
            <w:webHidden/>
          </w:rPr>
        </w:r>
        <w:r w:rsidR="00693D01">
          <w:rPr>
            <w:webHidden/>
          </w:rPr>
          <w:fldChar w:fldCharType="separate"/>
        </w:r>
        <w:r w:rsidR="00693D01">
          <w:rPr>
            <w:webHidden/>
          </w:rPr>
          <w:t>1</w:t>
        </w:r>
        <w:r w:rsidR="00693D01">
          <w:rPr>
            <w:webHidden/>
          </w:rPr>
          <w:fldChar w:fldCharType="end"/>
        </w:r>
      </w:hyperlink>
    </w:p>
    <w:p w14:paraId="4705A63D" w14:textId="0496D33A" w:rsidR="00693D01" w:rsidRDefault="00BD1A86">
      <w:pPr>
        <w:pStyle w:val="TOC1"/>
        <w:rPr>
          <w:rFonts w:asciiTheme="minorHAnsi" w:eastAsiaTheme="minorEastAsia" w:hAnsiTheme="minorHAnsi" w:cstheme="minorBidi"/>
          <w:b w:val="0"/>
          <w:color w:val="auto"/>
          <w:kern w:val="2"/>
          <w14:ligatures w14:val="standardContextual"/>
        </w:rPr>
      </w:pPr>
      <w:hyperlink w:anchor="_Toc163550082" w:history="1">
        <w:r w:rsidR="00693D01" w:rsidRPr="00056BB4">
          <w:rPr>
            <w:rStyle w:val="Hyperlink"/>
          </w:rPr>
          <w:t>A mandatory and suspensory administrative merger control system</w:t>
        </w:r>
        <w:r w:rsidR="00693D01">
          <w:rPr>
            <w:webHidden/>
          </w:rPr>
          <w:tab/>
        </w:r>
        <w:r w:rsidR="00693D01">
          <w:rPr>
            <w:webHidden/>
          </w:rPr>
          <w:fldChar w:fldCharType="begin"/>
        </w:r>
        <w:r w:rsidR="00693D01">
          <w:rPr>
            <w:webHidden/>
          </w:rPr>
          <w:instrText xml:space="preserve"> PAGEREF _Toc163550082 \h </w:instrText>
        </w:r>
        <w:r w:rsidR="00693D01">
          <w:rPr>
            <w:webHidden/>
          </w:rPr>
        </w:r>
        <w:r w:rsidR="00693D01">
          <w:rPr>
            <w:webHidden/>
          </w:rPr>
          <w:fldChar w:fldCharType="separate"/>
        </w:r>
        <w:r w:rsidR="00693D01">
          <w:rPr>
            <w:webHidden/>
          </w:rPr>
          <w:t>4</w:t>
        </w:r>
        <w:r w:rsidR="00693D01">
          <w:rPr>
            <w:webHidden/>
          </w:rPr>
          <w:fldChar w:fldCharType="end"/>
        </w:r>
      </w:hyperlink>
    </w:p>
    <w:p w14:paraId="3EC7543E" w14:textId="5094CA10" w:rsidR="00693D01" w:rsidRDefault="00BD1A86">
      <w:pPr>
        <w:pStyle w:val="TOC2"/>
        <w:rPr>
          <w:rFonts w:asciiTheme="minorHAnsi" w:eastAsiaTheme="minorEastAsia" w:hAnsiTheme="minorHAnsi" w:cstheme="minorBidi"/>
          <w:color w:val="auto"/>
          <w:kern w:val="2"/>
          <w:szCs w:val="22"/>
          <w14:ligatures w14:val="standardContextual"/>
        </w:rPr>
      </w:pPr>
      <w:hyperlink w:anchor="_Toc163550083" w:history="1">
        <w:r w:rsidR="00693D01" w:rsidRPr="00056BB4">
          <w:rPr>
            <w:rStyle w:val="Hyperlink"/>
          </w:rPr>
          <w:t>A stronger, expert administrative decision-maker</w:t>
        </w:r>
        <w:r w:rsidR="00693D01">
          <w:rPr>
            <w:webHidden/>
          </w:rPr>
          <w:tab/>
        </w:r>
        <w:r w:rsidR="00693D01">
          <w:rPr>
            <w:webHidden/>
          </w:rPr>
          <w:fldChar w:fldCharType="begin"/>
        </w:r>
        <w:r w:rsidR="00693D01">
          <w:rPr>
            <w:webHidden/>
          </w:rPr>
          <w:instrText xml:space="preserve"> PAGEREF _Toc163550083 \h </w:instrText>
        </w:r>
        <w:r w:rsidR="00693D01">
          <w:rPr>
            <w:webHidden/>
          </w:rPr>
        </w:r>
        <w:r w:rsidR="00693D01">
          <w:rPr>
            <w:webHidden/>
          </w:rPr>
          <w:fldChar w:fldCharType="separate"/>
        </w:r>
        <w:r w:rsidR="00693D01">
          <w:rPr>
            <w:webHidden/>
          </w:rPr>
          <w:t>5</w:t>
        </w:r>
        <w:r w:rsidR="00693D01">
          <w:rPr>
            <w:webHidden/>
          </w:rPr>
          <w:fldChar w:fldCharType="end"/>
        </w:r>
      </w:hyperlink>
    </w:p>
    <w:p w14:paraId="7FF79F71" w14:textId="53988493" w:rsidR="00693D01" w:rsidRDefault="00BD1A86">
      <w:pPr>
        <w:pStyle w:val="TOC2"/>
        <w:rPr>
          <w:rFonts w:asciiTheme="minorHAnsi" w:eastAsiaTheme="minorEastAsia" w:hAnsiTheme="minorHAnsi" w:cstheme="minorBidi"/>
          <w:color w:val="auto"/>
          <w:kern w:val="2"/>
          <w:szCs w:val="22"/>
          <w14:ligatures w14:val="standardContextual"/>
        </w:rPr>
      </w:pPr>
      <w:hyperlink w:anchor="_Toc163550084" w:history="1">
        <w:r w:rsidR="00693D01" w:rsidRPr="00056BB4">
          <w:rPr>
            <w:rStyle w:val="Hyperlink"/>
          </w:rPr>
          <w:t>Faster, targeted merger review</w:t>
        </w:r>
        <w:r w:rsidR="00693D01">
          <w:rPr>
            <w:webHidden/>
          </w:rPr>
          <w:tab/>
        </w:r>
        <w:r w:rsidR="00693D01">
          <w:rPr>
            <w:webHidden/>
          </w:rPr>
          <w:fldChar w:fldCharType="begin"/>
        </w:r>
        <w:r w:rsidR="00693D01">
          <w:rPr>
            <w:webHidden/>
          </w:rPr>
          <w:instrText xml:space="preserve"> PAGEREF _Toc163550084 \h </w:instrText>
        </w:r>
        <w:r w:rsidR="00693D01">
          <w:rPr>
            <w:webHidden/>
          </w:rPr>
        </w:r>
        <w:r w:rsidR="00693D01">
          <w:rPr>
            <w:webHidden/>
          </w:rPr>
          <w:fldChar w:fldCharType="separate"/>
        </w:r>
        <w:r w:rsidR="00693D01">
          <w:rPr>
            <w:webHidden/>
          </w:rPr>
          <w:t>5</w:t>
        </w:r>
        <w:r w:rsidR="00693D01">
          <w:rPr>
            <w:webHidden/>
          </w:rPr>
          <w:fldChar w:fldCharType="end"/>
        </w:r>
      </w:hyperlink>
    </w:p>
    <w:p w14:paraId="59ACB8D8" w14:textId="79A71322" w:rsidR="00693D01" w:rsidRDefault="00BD1A86">
      <w:pPr>
        <w:pStyle w:val="TOC3"/>
        <w:rPr>
          <w:rFonts w:asciiTheme="minorHAnsi" w:eastAsiaTheme="minorEastAsia" w:hAnsiTheme="minorHAnsi" w:cstheme="minorBidi"/>
          <w:kern w:val="2"/>
          <w:szCs w:val="22"/>
          <w14:ligatures w14:val="standardContextual"/>
        </w:rPr>
      </w:pPr>
      <w:hyperlink w:anchor="_Toc163550085" w:history="1">
        <w:r w:rsidR="00693D01" w:rsidRPr="00056BB4">
          <w:rPr>
            <w:rStyle w:val="Hyperlink"/>
          </w:rPr>
          <w:t>Targeted mandatory notification thresholds</w:t>
        </w:r>
        <w:r w:rsidR="00693D01">
          <w:rPr>
            <w:webHidden/>
          </w:rPr>
          <w:tab/>
        </w:r>
        <w:r w:rsidR="00693D01">
          <w:rPr>
            <w:webHidden/>
          </w:rPr>
          <w:fldChar w:fldCharType="begin"/>
        </w:r>
        <w:r w:rsidR="00693D01">
          <w:rPr>
            <w:webHidden/>
          </w:rPr>
          <w:instrText xml:space="preserve"> PAGEREF _Toc163550085 \h </w:instrText>
        </w:r>
        <w:r w:rsidR="00693D01">
          <w:rPr>
            <w:webHidden/>
          </w:rPr>
        </w:r>
        <w:r w:rsidR="00693D01">
          <w:rPr>
            <w:webHidden/>
          </w:rPr>
          <w:fldChar w:fldCharType="separate"/>
        </w:r>
        <w:r w:rsidR="00693D01">
          <w:rPr>
            <w:webHidden/>
          </w:rPr>
          <w:t>5</w:t>
        </w:r>
        <w:r w:rsidR="00693D01">
          <w:rPr>
            <w:webHidden/>
          </w:rPr>
          <w:fldChar w:fldCharType="end"/>
        </w:r>
      </w:hyperlink>
    </w:p>
    <w:p w14:paraId="523C2DFB" w14:textId="79AEA114" w:rsidR="00693D01" w:rsidRDefault="00BD1A86">
      <w:pPr>
        <w:pStyle w:val="TOC3"/>
        <w:rPr>
          <w:rFonts w:asciiTheme="minorHAnsi" w:eastAsiaTheme="minorEastAsia" w:hAnsiTheme="minorHAnsi" w:cstheme="minorBidi"/>
          <w:kern w:val="2"/>
          <w:szCs w:val="22"/>
          <w14:ligatures w14:val="standardContextual"/>
        </w:rPr>
      </w:pPr>
      <w:hyperlink w:anchor="_Toc163550086" w:history="1">
        <w:r w:rsidR="00693D01" w:rsidRPr="00056BB4">
          <w:rPr>
            <w:rStyle w:val="Hyperlink"/>
          </w:rPr>
          <w:t>Suspensory timelines supporting prompt review</w:t>
        </w:r>
        <w:r w:rsidR="00693D01">
          <w:rPr>
            <w:webHidden/>
          </w:rPr>
          <w:tab/>
        </w:r>
        <w:r w:rsidR="00693D01">
          <w:rPr>
            <w:webHidden/>
          </w:rPr>
          <w:fldChar w:fldCharType="begin"/>
        </w:r>
        <w:r w:rsidR="00693D01">
          <w:rPr>
            <w:webHidden/>
          </w:rPr>
          <w:instrText xml:space="preserve"> PAGEREF _Toc163550086 \h </w:instrText>
        </w:r>
        <w:r w:rsidR="00693D01">
          <w:rPr>
            <w:webHidden/>
          </w:rPr>
        </w:r>
        <w:r w:rsidR="00693D01">
          <w:rPr>
            <w:webHidden/>
          </w:rPr>
          <w:fldChar w:fldCharType="separate"/>
        </w:r>
        <w:r w:rsidR="00693D01">
          <w:rPr>
            <w:webHidden/>
          </w:rPr>
          <w:t>6</w:t>
        </w:r>
        <w:r w:rsidR="00693D01">
          <w:rPr>
            <w:webHidden/>
          </w:rPr>
          <w:fldChar w:fldCharType="end"/>
        </w:r>
      </w:hyperlink>
    </w:p>
    <w:p w14:paraId="69BCC528" w14:textId="3B3B7927" w:rsidR="00693D01" w:rsidRDefault="00BD1A86">
      <w:pPr>
        <w:pStyle w:val="TOC2"/>
        <w:rPr>
          <w:rFonts w:asciiTheme="minorHAnsi" w:eastAsiaTheme="minorEastAsia" w:hAnsiTheme="minorHAnsi" w:cstheme="minorBidi"/>
          <w:color w:val="auto"/>
          <w:kern w:val="2"/>
          <w:szCs w:val="22"/>
          <w14:ligatures w14:val="standardContextual"/>
        </w:rPr>
      </w:pPr>
      <w:hyperlink w:anchor="_Toc163550087" w:history="1">
        <w:r w:rsidR="00693D01" w:rsidRPr="00056BB4">
          <w:rPr>
            <w:rStyle w:val="Hyperlink"/>
          </w:rPr>
          <w:t>Simpler, clearer merger review process</w:t>
        </w:r>
        <w:r w:rsidR="00693D01">
          <w:rPr>
            <w:webHidden/>
          </w:rPr>
          <w:tab/>
        </w:r>
        <w:r w:rsidR="00693D01">
          <w:rPr>
            <w:webHidden/>
          </w:rPr>
          <w:fldChar w:fldCharType="begin"/>
        </w:r>
        <w:r w:rsidR="00693D01">
          <w:rPr>
            <w:webHidden/>
          </w:rPr>
          <w:instrText xml:space="preserve"> PAGEREF _Toc163550087 \h </w:instrText>
        </w:r>
        <w:r w:rsidR="00693D01">
          <w:rPr>
            <w:webHidden/>
          </w:rPr>
        </w:r>
        <w:r w:rsidR="00693D01">
          <w:rPr>
            <w:webHidden/>
          </w:rPr>
          <w:fldChar w:fldCharType="separate"/>
        </w:r>
        <w:r w:rsidR="00693D01">
          <w:rPr>
            <w:webHidden/>
          </w:rPr>
          <w:t>8</w:t>
        </w:r>
        <w:r w:rsidR="00693D01">
          <w:rPr>
            <w:webHidden/>
          </w:rPr>
          <w:fldChar w:fldCharType="end"/>
        </w:r>
      </w:hyperlink>
    </w:p>
    <w:p w14:paraId="09E47A9B" w14:textId="0ED8ED58" w:rsidR="00693D01" w:rsidRDefault="00BD1A86">
      <w:pPr>
        <w:pStyle w:val="TOC3"/>
        <w:rPr>
          <w:rFonts w:asciiTheme="minorHAnsi" w:eastAsiaTheme="minorEastAsia" w:hAnsiTheme="minorHAnsi" w:cstheme="minorBidi"/>
          <w:kern w:val="2"/>
          <w:szCs w:val="22"/>
          <w14:ligatures w14:val="standardContextual"/>
        </w:rPr>
      </w:pPr>
      <w:hyperlink w:anchor="_Toc163550088" w:history="1">
        <w:r w:rsidR="00693D01" w:rsidRPr="00056BB4">
          <w:rPr>
            <w:rStyle w:val="Hyperlink"/>
            <w:bCs/>
          </w:rPr>
          <w:t>Upfront notification requirements</w:t>
        </w:r>
        <w:r w:rsidR="00693D01">
          <w:rPr>
            <w:webHidden/>
          </w:rPr>
          <w:tab/>
        </w:r>
        <w:r w:rsidR="00693D01">
          <w:rPr>
            <w:webHidden/>
          </w:rPr>
          <w:fldChar w:fldCharType="begin"/>
        </w:r>
        <w:r w:rsidR="00693D01">
          <w:rPr>
            <w:webHidden/>
          </w:rPr>
          <w:instrText xml:space="preserve"> PAGEREF _Toc163550088 \h </w:instrText>
        </w:r>
        <w:r w:rsidR="00693D01">
          <w:rPr>
            <w:webHidden/>
          </w:rPr>
        </w:r>
        <w:r w:rsidR="00693D01">
          <w:rPr>
            <w:webHidden/>
          </w:rPr>
          <w:fldChar w:fldCharType="separate"/>
        </w:r>
        <w:r w:rsidR="00693D01">
          <w:rPr>
            <w:webHidden/>
          </w:rPr>
          <w:t>8</w:t>
        </w:r>
        <w:r w:rsidR="00693D01">
          <w:rPr>
            <w:webHidden/>
          </w:rPr>
          <w:fldChar w:fldCharType="end"/>
        </w:r>
      </w:hyperlink>
    </w:p>
    <w:p w14:paraId="1D405571" w14:textId="740A04DB" w:rsidR="00693D01" w:rsidRDefault="00BD1A86">
      <w:pPr>
        <w:pStyle w:val="TOC3"/>
        <w:rPr>
          <w:rFonts w:asciiTheme="minorHAnsi" w:eastAsiaTheme="minorEastAsia" w:hAnsiTheme="minorHAnsi" w:cstheme="minorBidi"/>
          <w:kern w:val="2"/>
          <w:szCs w:val="22"/>
          <w14:ligatures w14:val="standardContextual"/>
        </w:rPr>
      </w:pPr>
      <w:hyperlink w:anchor="_Toc163550089" w:history="1">
        <w:r w:rsidR="00693D01" w:rsidRPr="00056BB4">
          <w:rPr>
            <w:rStyle w:val="Hyperlink"/>
            <w:bCs/>
          </w:rPr>
          <w:t>Fees</w:t>
        </w:r>
        <w:r w:rsidR="00693D01">
          <w:rPr>
            <w:webHidden/>
          </w:rPr>
          <w:tab/>
        </w:r>
        <w:r w:rsidR="00693D01">
          <w:rPr>
            <w:webHidden/>
          </w:rPr>
          <w:fldChar w:fldCharType="begin"/>
        </w:r>
        <w:r w:rsidR="00693D01">
          <w:rPr>
            <w:webHidden/>
          </w:rPr>
          <w:instrText xml:space="preserve"> PAGEREF _Toc163550089 \h </w:instrText>
        </w:r>
        <w:r w:rsidR="00693D01">
          <w:rPr>
            <w:webHidden/>
          </w:rPr>
        </w:r>
        <w:r w:rsidR="00693D01">
          <w:rPr>
            <w:webHidden/>
          </w:rPr>
          <w:fldChar w:fldCharType="separate"/>
        </w:r>
        <w:r w:rsidR="00693D01">
          <w:rPr>
            <w:webHidden/>
          </w:rPr>
          <w:t>8</w:t>
        </w:r>
        <w:r w:rsidR="00693D01">
          <w:rPr>
            <w:webHidden/>
          </w:rPr>
          <w:fldChar w:fldCharType="end"/>
        </w:r>
      </w:hyperlink>
    </w:p>
    <w:p w14:paraId="481A8E51" w14:textId="0A17173B" w:rsidR="00693D01" w:rsidRDefault="00BD1A86">
      <w:pPr>
        <w:pStyle w:val="TOC3"/>
        <w:rPr>
          <w:rFonts w:asciiTheme="minorHAnsi" w:eastAsiaTheme="minorEastAsia" w:hAnsiTheme="minorHAnsi" w:cstheme="minorBidi"/>
          <w:kern w:val="2"/>
          <w:szCs w:val="22"/>
          <w14:ligatures w14:val="standardContextual"/>
        </w:rPr>
      </w:pPr>
      <w:hyperlink w:anchor="_Toc163550090" w:history="1">
        <w:r w:rsidR="00693D01" w:rsidRPr="00056BB4">
          <w:rPr>
            <w:rStyle w:val="Hyperlink"/>
          </w:rPr>
          <w:t>T</w:t>
        </w:r>
        <w:r w:rsidR="00693D01" w:rsidRPr="00056BB4">
          <w:rPr>
            <w:rStyle w:val="Hyperlink"/>
            <w:bCs/>
          </w:rPr>
          <w:t>ransparency</w:t>
        </w:r>
        <w:r w:rsidR="00693D01">
          <w:rPr>
            <w:webHidden/>
          </w:rPr>
          <w:tab/>
        </w:r>
        <w:r w:rsidR="00693D01">
          <w:rPr>
            <w:webHidden/>
          </w:rPr>
          <w:fldChar w:fldCharType="begin"/>
        </w:r>
        <w:r w:rsidR="00693D01">
          <w:rPr>
            <w:webHidden/>
          </w:rPr>
          <w:instrText xml:space="preserve"> PAGEREF _Toc163550090 \h </w:instrText>
        </w:r>
        <w:r w:rsidR="00693D01">
          <w:rPr>
            <w:webHidden/>
          </w:rPr>
        </w:r>
        <w:r w:rsidR="00693D01">
          <w:rPr>
            <w:webHidden/>
          </w:rPr>
          <w:fldChar w:fldCharType="separate"/>
        </w:r>
        <w:r w:rsidR="00693D01">
          <w:rPr>
            <w:webHidden/>
          </w:rPr>
          <w:t>8</w:t>
        </w:r>
        <w:r w:rsidR="00693D01">
          <w:rPr>
            <w:webHidden/>
          </w:rPr>
          <w:fldChar w:fldCharType="end"/>
        </w:r>
      </w:hyperlink>
    </w:p>
    <w:p w14:paraId="3DD29118" w14:textId="1ECDDBA8" w:rsidR="00693D01" w:rsidRDefault="00BD1A86">
      <w:pPr>
        <w:pStyle w:val="TOC2"/>
        <w:rPr>
          <w:rFonts w:asciiTheme="minorHAnsi" w:eastAsiaTheme="minorEastAsia" w:hAnsiTheme="minorHAnsi" w:cstheme="minorBidi"/>
          <w:color w:val="auto"/>
          <w:kern w:val="2"/>
          <w:szCs w:val="22"/>
          <w14:ligatures w14:val="standardContextual"/>
        </w:rPr>
      </w:pPr>
      <w:hyperlink w:anchor="_Toc163550091" w:history="1">
        <w:r w:rsidR="00693D01" w:rsidRPr="00056BB4">
          <w:rPr>
            <w:rStyle w:val="Hyperlink"/>
          </w:rPr>
          <w:t>Empowering the ACCC to protect competition and consumers</w:t>
        </w:r>
        <w:r w:rsidR="00693D01">
          <w:rPr>
            <w:webHidden/>
          </w:rPr>
          <w:tab/>
        </w:r>
        <w:r w:rsidR="00693D01">
          <w:rPr>
            <w:webHidden/>
          </w:rPr>
          <w:fldChar w:fldCharType="begin"/>
        </w:r>
        <w:r w:rsidR="00693D01">
          <w:rPr>
            <w:webHidden/>
          </w:rPr>
          <w:instrText xml:space="preserve"> PAGEREF _Toc163550091 \h </w:instrText>
        </w:r>
        <w:r w:rsidR="00693D01">
          <w:rPr>
            <w:webHidden/>
          </w:rPr>
        </w:r>
        <w:r w:rsidR="00693D01">
          <w:rPr>
            <w:webHidden/>
          </w:rPr>
          <w:fldChar w:fldCharType="separate"/>
        </w:r>
        <w:r w:rsidR="00693D01">
          <w:rPr>
            <w:webHidden/>
          </w:rPr>
          <w:t>9</w:t>
        </w:r>
        <w:r w:rsidR="00693D01">
          <w:rPr>
            <w:webHidden/>
          </w:rPr>
          <w:fldChar w:fldCharType="end"/>
        </w:r>
      </w:hyperlink>
    </w:p>
    <w:p w14:paraId="52150D20" w14:textId="13AC6423" w:rsidR="00693D01" w:rsidRDefault="00BD1A86">
      <w:pPr>
        <w:pStyle w:val="TOC3"/>
        <w:rPr>
          <w:rFonts w:asciiTheme="minorHAnsi" w:eastAsiaTheme="minorEastAsia" w:hAnsiTheme="minorHAnsi" w:cstheme="minorBidi"/>
          <w:kern w:val="2"/>
          <w:szCs w:val="22"/>
          <w14:ligatures w14:val="standardContextual"/>
        </w:rPr>
      </w:pPr>
      <w:hyperlink w:anchor="_Toc163550092" w:history="1">
        <w:r w:rsidR="00693D01" w:rsidRPr="00056BB4">
          <w:rPr>
            <w:rStyle w:val="Hyperlink"/>
            <w:rFonts w:eastAsia="Calibri Light"/>
          </w:rPr>
          <w:t>Competition test</w:t>
        </w:r>
        <w:r w:rsidR="00693D01">
          <w:rPr>
            <w:webHidden/>
          </w:rPr>
          <w:tab/>
        </w:r>
        <w:r w:rsidR="00693D01">
          <w:rPr>
            <w:webHidden/>
          </w:rPr>
          <w:fldChar w:fldCharType="begin"/>
        </w:r>
        <w:r w:rsidR="00693D01">
          <w:rPr>
            <w:webHidden/>
          </w:rPr>
          <w:instrText xml:space="preserve"> PAGEREF _Toc163550092 \h </w:instrText>
        </w:r>
        <w:r w:rsidR="00693D01">
          <w:rPr>
            <w:webHidden/>
          </w:rPr>
        </w:r>
        <w:r w:rsidR="00693D01">
          <w:rPr>
            <w:webHidden/>
          </w:rPr>
          <w:fldChar w:fldCharType="separate"/>
        </w:r>
        <w:r w:rsidR="00693D01">
          <w:rPr>
            <w:webHidden/>
          </w:rPr>
          <w:t>9</w:t>
        </w:r>
        <w:r w:rsidR="00693D01">
          <w:rPr>
            <w:webHidden/>
          </w:rPr>
          <w:fldChar w:fldCharType="end"/>
        </w:r>
      </w:hyperlink>
    </w:p>
    <w:p w14:paraId="0CA56270" w14:textId="75122A27" w:rsidR="00693D01" w:rsidRDefault="00BD1A86">
      <w:pPr>
        <w:pStyle w:val="TOC3"/>
        <w:rPr>
          <w:rFonts w:asciiTheme="minorHAnsi" w:eastAsiaTheme="minorEastAsia" w:hAnsiTheme="minorHAnsi" w:cstheme="minorBidi"/>
          <w:kern w:val="2"/>
          <w:szCs w:val="22"/>
          <w14:ligatures w14:val="standardContextual"/>
        </w:rPr>
      </w:pPr>
      <w:hyperlink w:anchor="_Toc163550093" w:history="1">
        <w:r w:rsidR="00693D01" w:rsidRPr="00056BB4">
          <w:rPr>
            <w:rStyle w:val="Hyperlink"/>
          </w:rPr>
          <w:t>Substantial Public Benefits test</w:t>
        </w:r>
        <w:r w:rsidR="00693D01">
          <w:rPr>
            <w:webHidden/>
          </w:rPr>
          <w:tab/>
        </w:r>
        <w:r w:rsidR="00693D01">
          <w:rPr>
            <w:webHidden/>
          </w:rPr>
          <w:fldChar w:fldCharType="begin"/>
        </w:r>
        <w:r w:rsidR="00693D01">
          <w:rPr>
            <w:webHidden/>
          </w:rPr>
          <w:instrText xml:space="preserve"> PAGEREF _Toc163550093 \h </w:instrText>
        </w:r>
        <w:r w:rsidR="00693D01">
          <w:rPr>
            <w:webHidden/>
          </w:rPr>
        </w:r>
        <w:r w:rsidR="00693D01">
          <w:rPr>
            <w:webHidden/>
          </w:rPr>
          <w:fldChar w:fldCharType="separate"/>
        </w:r>
        <w:r w:rsidR="00693D01">
          <w:rPr>
            <w:webHidden/>
          </w:rPr>
          <w:t>10</w:t>
        </w:r>
        <w:r w:rsidR="00693D01">
          <w:rPr>
            <w:webHidden/>
          </w:rPr>
          <w:fldChar w:fldCharType="end"/>
        </w:r>
      </w:hyperlink>
    </w:p>
    <w:p w14:paraId="3FBE260C" w14:textId="7D5DFC3B" w:rsidR="00693D01" w:rsidRDefault="00BD1A86">
      <w:pPr>
        <w:pStyle w:val="TOC3"/>
        <w:rPr>
          <w:rFonts w:asciiTheme="minorHAnsi" w:eastAsiaTheme="minorEastAsia" w:hAnsiTheme="minorHAnsi" w:cstheme="minorBidi"/>
          <w:kern w:val="2"/>
          <w:szCs w:val="22"/>
          <w14:ligatures w14:val="standardContextual"/>
        </w:rPr>
      </w:pPr>
      <w:hyperlink w:anchor="_Toc163550094" w:history="1">
        <w:r w:rsidR="00693D01" w:rsidRPr="00056BB4">
          <w:rPr>
            <w:rStyle w:val="Hyperlink"/>
          </w:rPr>
          <w:t>Conditions</w:t>
        </w:r>
        <w:r w:rsidR="00693D01">
          <w:rPr>
            <w:webHidden/>
          </w:rPr>
          <w:tab/>
        </w:r>
        <w:r w:rsidR="00693D01">
          <w:rPr>
            <w:webHidden/>
          </w:rPr>
          <w:fldChar w:fldCharType="begin"/>
        </w:r>
        <w:r w:rsidR="00693D01">
          <w:rPr>
            <w:webHidden/>
          </w:rPr>
          <w:instrText xml:space="preserve"> PAGEREF _Toc163550094 \h </w:instrText>
        </w:r>
        <w:r w:rsidR="00693D01">
          <w:rPr>
            <w:webHidden/>
          </w:rPr>
        </w:r>
        <w:r w:rsidR="00693D01">
          <w:rPr>
            <w:webHidden/>
          </w:rPr>
          <w:fldChar w:fldCharType="separate"/>
        </w:r>
        <w:r w:rsidR="00693D01">
          <w:rPr>
            <w:webHidden/>
          </w:rPr>
          <w:t>11</w:t>
        </w:r>
        <w:r w:rsidR="00693D01">
          <w:rPr>
            <w:webHidden/>
          </w:rPr>
          <w:fldChar w:fldCharType="end"/>
        </w:r>
      </w:hyperlink>
    </w:p>
    <w:p w14:paraId="7CC67F82" w14:textId="051C493A" w:rsidR="00693D01" w:rsidRDefault="00BD1A86">
      <w:pPr>
        <w:pStyle w:val="TOC2"/>
        <w:rPr>
          <w:rFonts w:asciiTheme="minorHAnsi" w:eastAsiaTheme="minorEastAsia" w:hAnsiTheme="minorHAnsi" w:cstheme="minorBidi"/>
          <w:color w:val="auto"/>
          <w:kern w:val="2"/>
          <w:szCs w:val="22"/>
          <w14:ligatures w14:val="standardContextual"/>
        </w:rPr>
      </w:pPr>
      <w:hyperlink w:anchor="_Toc163550095" w:history="1">
        <w:r w:rsidR="00693D01" w:rsidRPr="00056BB4">
          <w:rPr>
            <w:rStyle w:val="Hyperlink"/>
          </w:rPr>
          <w:t>A stronger system</w:t>
        </w:r>
        <w:r w:rsidR="00693D01">
          <w:rPr>
            <w:webHidden/>
          </w:rPr>
          <w:tab/>
        </w:r>
        <w:r w:rsidR="00693D01">
          <w:rPr>
            <w:webHidden/>
          </w:rPr>
          <w:fldChar w:fldCharType="begin"/>
        </w:r>
        <w:r w:rsidR="00693D01">
          <w:rPr>
            <w:webHidden/>
          </w:rPr>
          <w:instrText xml:space="preserve"> PAGEREF _Toc163550095 \h </w:instrText>
        </w:r>
        <w:r w:rsidR="00693D01">
          <w:rPr>
            <w:webHidden/>
          </w:rPr>
        </w:r>
        <w:r w:rsidR="00693D01">
          <w:rPr>
            <w:webHidden/>
          </w:rPr>
          <w:fldChar w:fldCharType="separate"/>
        </w:r>
        <w:r w:rsidR="00693D01">
          <w:rPr>
            <w:webHidden/>
          </w:rPr>
          <w:t>11</w:t>
        </w:r>
        <w:r w:rsidR="00693D01">
          <w:rPr>
            <w:webHidden/>
          </w:rPr>
          <w:fldChar w:fldCharType="end"/>
        </w:r>
      </w:hyperlink>
    </w:p>
    <w:p w14:paraId="6616A6AB" w14:textId="55EFA742" w:rsidR="00693D01" w:rsidRDefault="00BD1A86">
      <w:pPr>
        <w:pStyle w:val="TOC3"/>
        <w:rPr>
          <w:rFonts w:asciiTheme="minorHAnsi" w:eastAsiaTheme="minorEastAsia" w:hAnsiTheme="minorHAnsi" w:cstheme="minorBidi"/>
          <w:kern w:val="2"/>
          <w:szCs w:val="22"/>
          <w14:ligatures w14:val="standardContextual"/>
        </w:rPr>
      </w:pPr>
      <w:hyperlink w:anchor="_Toc163550096" w:history="1">
        <w:r w:rsidR="00693D01" w:rsidRPr="00056BB4">
          <w:rPr>
            <w:rStyle w:val="Hyperlink"/>
          </w:rPr>
          <w:t>Review of ACCC determinations and procedural safeguards</w:t>
        </w:r>
        <w:r w:rsidR="00693D01">
          <w:rPr>
            <w:webHidden/>
          </w:rPr>
          <w:tab/>
        </w:r>
        <w:r w:rsidR="00693D01">
          <w:rPr>
            <w:webHidden/>
          </w:rPr>
          <w:fldChar w:fldCharType="begin"/>
        </w:r>
        <w:r w:rsidR="00693D01">
          <w:rPr>
            <w:webHidden/>
          </w:rPr>
          <w:instrText xml:space="preserve"> PAGEREF _Toc163550096 \h </w:instrText>
        </w:r>
        <w:r w:rsidR="00693D01">
          <w:rPr>
            <w:webHidden/>
          </w:rPr>
        </w:r>
        <w:r w:rsidR="00693D01">
          <w:rPr>
            <w:webHidden/>
          </w:rPr>
          <w:fldChar w:fldCharType="separate"/>
        </w:r>
        <w:r w:rsidR="00693D01">
          <w:rPr>
            <w:webHidden/>
          </w:rPr>
          <w:t>11</w:t>
        </w:r>
        <w:r w:rsidR="00693D01">
          <w:rPr>
            <w:webHidden/>
          </w:rPr>
          <w:fldChar w:fldCharType="end"/>
        </w:r>
      </w:hyperlink>
    </w:p>
    <w:p w14:paraId="0E04E57C" w14:textId="0867E029" w:rsidR="00693D01" w:rsidRDefault="00BD1A86">
      <w:pPr>
        <w:pStyle w:val="TOC3"/>
        <w:rPr>
          <w:rFonts w:asciiTheme="minorHAnsi" w:eastAsiaTheme="minorEastAsia" w:hAnsiTheme="minorHAnsi" w:cstheme="minorBidi"/>
          <w:kern w:val="2"/>
          <w:szCs w:val="22"/>
          <w14:ligatures w14:val="standardContextual"/>
        </w:rPr>
      </w:pPr>
      <w:hyperlink w:anchor="_Toc163550097" w:history="1">
        <w:r w:rsidR="00693D01" w:rsidRPr="00056BB4">
          <w:rPr>
            <w:rStyle w:val="Hyperlink"/>
          </w:rPr>
          <w:t>Penalties</w:t>
        </w:r>
        <w:r w:rsidR="00693D01">
          <w:rPr>
            <w:webHidden/>
          </w:rPr>
          <w:tab/>
        </w:r>
        <w:r w:rsidR="00693D01">
          <w:rPr>
            <w:webHidden/>
          </w:rPr>
          <w:fldChar w:fldCharType="begin"/>
        </w:r>
        <w:r w:rsidR="00693D01">
          <w:rPr>
            <w:webHidden/>
          </w:rPr>
          <w:instrText xml:space="preserve"> PAGEREF _Toc163550097 \h </w:instrText>
        </w:r>
        <w:r w:rsidR="00693D01">
          <w:rPr>
            <w:webHidden/>
          </w:rPr>
        </w:r>
        <w:r w:rsidR="00693D01">
          <w:rPr>
            <w:webHidden/>
          </w:rPr>
          <w:fldChar w:fldCharType="separate"/>
        </w:r>
        <w:r w:rsidR="00693D01">
          <w:rPr>
            <w:webHidden/>
          </w:rPr>
          <w:t>13</w:t>
        </w:r>
        <w:r w:rsidR="00693D01">
          <w:rPr>
            <w:webHidden/>
          </w:rPr>
          <w:fldChar w:fldCharType="end"/>
        </w:r>
      </w:hyperlink>
    </w:p>
    <w:p w14:paraId="6CE48715" w14:textId="70F7405D" w:rsidR="00693D01" w:rsidRDefault="00BD1A86">
      <w:pPr>
        <w:pStyle w:val="TOC1"/>
        <w:rPr>
          <w:rFonts w:asciiTheme="minorHAnsi" w:eastAsiaTheme="minorEastAsia" w:hAnsiTheme="minorHAnsi" w:cstheme="minorBidi"/>
          <w:b w:val="0"/>
          <w:color w:val="auto"/>
          <w:kern w:val="2"/>
          <w14:ligatures w14:val="standardContextual"/>
        </w:rPr>
      </w:pPr>
      <w:hyperlink w:anchor="_Toc163550098" w:history="1">
        <w:r w:rsidR="00693D01" w:rsidRPr="00056BB4">
          <w:rPr>
            <w:rStyle w:val="Hyperlink"/>
          </w:rPr>
          <w:t>Attachment A: A faster, stronger and simpler merger system</w:t>
        </w:r>
        <w:r w:rsidR="00693D01">
          <w:rPr>
            <w:webHidden/>
          </w:rPr>
          <w:tab/>
        </w:r>
        <w:r w:rsidR="00693D01">
          <w:rPr>
            <w:webHidden/>
          </w:rPr>
          <w:fldChar w:fldCharType="begin"/>
        </w:r>
        <w:r w:rsidR="00693D01">
          <w:rPr>
            <w:webHidden/>
          </w:rPr>
          <w:instrText xml:space="preserve"> PAGEREF _Toc163550098 \h </w:instrText>
        </w:r>
        <w:r w:rsidR="00693D01">
          <w:rPr>
            <w:webHidden/>
          </w:rPr>
        </w:r>
        <w:r w:rsidR="00693D01">
          <w:rPr>
            <w:webHidden/>
          </w:rPr>
          <w:fldChar w:fldCharType="separate"/>
        </w:r>
        <w:r w:rsidR="00693D01">
          <w:rPr>
            <w:webHidden/>
          </w:rPr>
          <w:t>14</w:t>
        </w:r>
        <w:r w:rsidR="00693D01">
          <w:rPr>
            <w:webHidden/>
          </w:rPr>
          <w:fldChar w:fldCharType="end"/>
        </w:r>
      </w:hyperlink>
    </w:p>
    <w:p w14:paraId="161F23F2" w14:textId="3B16F3C8" w:rsidR="00693D01" w:rsidRDefault="00BD1A86">
      <w:pPr>
        <w:pStyle w:val="TOC1"/>
        <w:rPr>
          <w:rFonts w:asciiTheme="minorHAnsi" w:eastAsiaTheme="minorEastAsia" w:hAnsiTheme="minorHAnsi" w:cstheme="minorBidi"/>
          <w:b w:val="0"/>
          <w:color w:val="auto"/>
          <w:kern w:val="2"/>
          <w14:ligatures w14:val="standardContextual"/>
        </w:rPr>
      </w:pPr>
      <w:hyperlink w:anchor="_Toc163550099" w:history="1">
        <w:r w:rsidR="00693D01" w:rsidRPr="00056BB4">
          <w:rPr>
            <w:rStyle w:val="Hyperlink"/>
          </w:rPr>
          <w:t>Attachment B: Merger reform consultation — stakeholder feedback and Australian Government response</w:t>
        </w:r>
        <w:r w:rsidR="00693D01">
          <w:rPr>
            <w:webHidden/>
          </w:rPr>
          <w:tab/>
        </w:r>
        <w:r w:rsidR="00693D01">
          <w:rPr>
            <w:webHidden/>
          </w:rPr>
          <w:fldChar w:fldCharType="begin"/>
        </w:r>
        <w:r w:rsidR="00693D01">
          <w:rPr>
            <w:webHidden/>
          </w:rPr>
          <w:instrText xml:space="preserve"> PAGEREF _Toc163550099 \h </w:instrText>
        </w:r>
        <w:r w:rsidR="00693D01">
          <w:rPr>
            <w:webHidden/>
          </w:rPr>
        </w:r>
        <w:r w:rsidR="00693D01">
          <w:rPr>
            <w:webHidden/>
          </w:rPr>
          <w:fldChar w:fldCharType="separate"/>
        </w:r>
        <w:r w:rsidR="00693D01">
          <w:rPr>
            <w:webHidden/>
          </w:rPr>
          <w:t>15</w:t>
        </w:r>
        <w:r w:rsidR="00693D01">
          <w:rPr>
            <w:webHidden/>
          </w:rPr>
          <w:fldChar w:fldCharType="end"/>
        </w:r>
      </w:hyperlink>
    </w:p>
    <w:p w14:paraId="34715DB6" w14:textId="43B2C35F" w:rsidR="00E00695" w:rsidRDefault="00E54143" w:rsidP="00066E19">
      <w:pPr>
        <w:pStyle w:val="TOC1"/>
        <w:tabs>
          <w:tab w:val="right" w:leader="dot" w:pos="9015"/>
        </w:tabs>
        <w:sectPr w:rsidR="00E00695" w:rsidSect="008F459F">
          <w:headerReference w:type="default" r:id="rId24"/>
          <w:footerReference w:type="default" r:id="rId25"/>
          <w:pgSz w:w="11906" w:h="16838"/>
          <w:pgMar w:top="1440" w:right="1440" w:bottom="1440" w:left="1440" w:header="708" w:footer="708" w:gutter="0"/>
          <w:pgNumType w:start="1"/>
          <w:cols w:space="708"/>
          <w:docGrid w:linePitch="360"/>
        </w:sectPr>
      </w:pPr>
      <w:r>
        <w:fldChar w:fldCharType="end"/>
      </w:r>
      <w:bookmarkStart w:id="2" w:name="_Toc155866033"/>
      <w:r w:rsidR="00BA60D9">
        <w:br w:type="page"/>
      </w:r>
    </w:p>
    <w:p w14:paraId="02629AD2" w14:textId="159B6D71" w:rsidR="00CB01A5" w:rsidRDefault="3398514F" w:rsidP="00CB01A5">
      <w:pPr>
        <w:pStyle w:val="Heading1"/>
        <w:rPr>
          <w:rFonts w:ascii="Calibri Light" w:hAnsi="Calibri Light" w:cs="Times New Roman"/>
        </w:rPr>
      </w:pPr>
      <w:bookmarkStart w:id="3" w:name="_Toc156141227"/>
      <w:bookmarkStart w:id="4" w:name="_Toc156207569"/>
      <w:bookmarkStart w:id="5" w:name="_Toc163550081"/>
      <w:bookmarkEnd w:id="2"/>
      <w:r>
        <w:lastRenderedPageBreak/>
        <w:t xml:space="preserve">A </w:t>
      </w:r>
      <w:r w:rsidR="00FC31A3">
        <w:t xml:space="preserve">faster, </w:t>
      </w:r>
      <w:r w:rsidR="00673EC6">
        <w:t>stronger</w:t>
      </w:r>
      <w:r w:rsidR="00FC31A3">
        <w:t xml:space="preserve"> and simpler</w:t>
      </w:r>
      <w:r>
        <w:t xml:space="preserve"> merger system</w:t>
      </w:r>
      <w:bookmarkEnd w:id="3"/>
      <w:bookmarkEnd w:id="4"/>
      <w:bookmarkEnd w:id="5"/>
    </w:p>
    <w:p w14:paraId="1BDA0DE2" w14:textId="2F8B5D6D" w:rsidR="00CB01A5" w:rsidRDefault="3398514F" w:rsidP="002646A8">
      <w:pPr>
        <w:spacing w:line="276" w:lineRule="auto"/>
      </w:pPr>
      <w:r>
        <w:t xml:space="preserve">Mergers and acquisitions are important </w:t>
      </w:r>
      <w:r w:rsidR="007852BC">
        <w:t>for</w:t>
      </w:r>
      <w:r w:rsidR="00F766A3">
        <w:t xml:space="preserve"> building</w:t>
      </w:r>
      <w:r w:rsidR="6640EFB4">
        <w:t xml:space="preserve"> </w:t>
      </w:r>
      <w:r>
        <w:t xml:space="preserve">a more productive </w:t>
      </w:r>
      <w:r w:rsidR="00446485">
        <w:t xml:space="preserve">and dynamic </w:t>
      </w:r>
      <w:r>
        <w:t>economy. They allow businesses to achieve greater economies of scale, and to access new resources, technology and expertise.</w:t>
      </w:r>
      <w:r w:rsidR="00F418E3">
        <w:t xml:space="preserve"> In doing so</w:t>
      </w:r>
      <w:r w:rsidR="00F90422">
        <w:t xml:space="preserve">, mergers can help businesses </w:t>
      </w:r>
      <w:r w:rsidR="009967AB">
        <w:t>maximise</w:t>
      </w:r>
      <w:r w:rsidR="00A4606E">
        <w:t xml:space="preserve"> the benefits of </w:t>
      </w:r>
      <w:r w:rsidR="00DE0142">
        <w:t>the big shifts in our economy</w:t>
      </w:r>
      <w:r w:rsidR="00B056C2">
        <w:t xml:space="preserve">, </w:t>
      </w:r>
      <w:r w:rsidR="00664FE6">
        <w:t xml:space="preserve">such as </w:t>
      </w:r>
      <w:r w:rsidR="00B056C2">
        <w:t>the transformation to net zero, the emergence of</w:t>
      </w:r>
      <w:r w:rsidR="00664FE6">
        <w:t xml:space="preserve"> new digital technologies and the </w:t>
      </w:r>
      <w:r w:rsidR="008246B2">
        <w:t>growth of the care economy.</w:t>
      </w:r>
      <w:r w:rsidR="00B056C2">
        <w:t xml:space="preserve"> </w:t>
      </w:r>
      <w:r w:rsidR="005907AD">
        <w:t>Importantly</w:t>
      </w:r>
      <w:r w:rsidR="00C01EC3">
        <w:t xml:space="preserve">, </w:t>
      </w:r>
      <w:r w:rsidR="00C366C7">
        <w:t xml:space="preserve">mergers can benefit consumers through lower prices, </w:t>
      </w:r>
      <w:r w:rsidR="007A24EA">
        <w:t>more choice</w:t>
      </w:r>
      <w:r w:rsidR="008F03AC">
        <w:t>,</w:t>
      </w:r>
      <w:r w:rsidR="007A24EA">
        <w:t xml:space="preserve"> and </w:t>
      </w:r>
      <w:r>
        <w:t>higher quality goods and services</w:t>
      </w:r>
      <w:r w:rsidR="009E4F7C">
        <w:t>,</w:t>
      </w:r>
      <w:r w:rsidR="004D08AA">
        <w:t xml:space="preserve"> a</w:t>
      </w:r>
      <w:r w:rsidR="008F03AC">
        <w:t>s well as</w:t>
      </w:r>
      <w:r w:rsidR="004D08AA">
        <w:t xml:space="preserve"> help support </w:t>
      </w:r>
      <w:r>
        <w:t>sustainable wage growth</w:t>
      </w:r>
      <w:r w:rsidR="004D08AA">
        <w:t xml:space="preserve"> for workers</w:t>
      </w:r>
      <w:r>
        <w:t xml:space="preserve">. </w:t>
      </w:r>
    </w:p>
    <w:p w14:paraId="76CDF51A" w14:textId="05EEBB1B" w:rsidR="000012A1" w:rsidRDefault="004D08AA" w:rsidP="00AE5607">
      <w:pPr>
        <w:spacing w:line="276" w:lineRule="auto"/>
      </w:pPr>
      <w:r>
        <w:t>While m</w:t>
      </w:r>
      <w:r w:rsidR="00CB01A5">
        <w:t xml:space="preserve">ost mergers are </w:t>
      </w:r>
      <w:r w:rsidR="00CA51E5">
        <w:t>unlikely to</w:t>
      </w:r>
      <w:r w:rsidR="00CB01A5" w:rsidRPr="00B5380B">
        <w:t xml:space="preserve"> raise competition concerns</w:t>
      </w:r>
      <w:r w:rsidR="6C26F3A4">
        <w:t>,</w:t>
      </w:r>
      <w:r w:rsidR="00E0186D">
        <w:t xml:space="preserve"> </w:t>
      </w:r>
      <w:r w:rsidR="00B6636E" w:rsidRPr="00B5380B">
        <w:t>some</w:t>
      </w:r>
      <w:r w:rsidR="00CB01A5" w:rsidRPr="00B5380B">
        <w:t xml:space="preserve"> can harm competition</w:t>
      </w:r>
      <w:r w:rsidR="3762838C">
        <w:t>, allowing</w:t>
      </w:r>
      <w:r w:rsidR="00CB01A5" w:rsidRPr="00B5380B">
        <w:t xml:space="preserve"> </w:t>
      </w:r>
      <w:r w:rsidR="3762838C">
        <w:t>businesses to raise prices</w:t>
      </w:r>
      <w:r w:rsidR="00CB01A5">
        <w:t xml:space="preserve"> </w:t>
      </w:r>
      <w:r w:rsidR="002B14AB">
        <w:t>and</w:t>
      </w:r>
      <w:r w:rsidR="00920939" w:rsidRPr="00B5380B">
        <w:t xml:space="preserve"> not </w:t>
      </w:r>
      <w:r w:rsidR="00CB01A5" w:rsidRPr="00B5380B">
        <w:t>pass economic gains on</w:t>
      </w:r>
      <w:r w:rsidR="00182813" w:rsidRPr="007A23BB">
        <w:t xml:space="preserve"> to consumers</w:t>
      </w:r>
      <w:r w:rsidR="00CB01A5" w:rsidRPr="00B5380B">
        <w:t xml:space="preserve">. Australia’s merger control system plays a crucial gatekeeper role in focusing on the small number of mergers that </w:t>
      </w:r>
      <w:r w:rsidR="00344555">
        <w:t>c</w:t>
      </w:r>
      <w:r w:rsidR="00CB01A5" w:rsidRPr="00B5380B">
        <w:t xml:space="preserve">ould substantially lessen competition, harming consumers and the wider economy. </w:t>
      </w:r>
      <w:r w:rsidR="004672C4" w:rsidRPr="00B5380B">
        <w:t xml:space="preserve">Discouraging </w:t>
      </w:r>
      <w:r w:rsidR="008310F9" w:rsidRPr="00B5380B">
        <w:t xml:space="preserve">such </w:t>
      </w:r>
      <w:r w:rsidR="004672C4" w:rsidRPr="00B5380B">
        <w:t>mergers</w:t>
      </w:r>
      <w:r w:rsidR="00530C57" w:rsidRPr="00B5380B">
        <w:t>, and stopping those that try</w:t>
      </w:r>
      <w:r w:rsidR="006B1887" w:rsidRPr="00B5380B">
        <w:t xml:space="preserve"> to proceed</w:t>
      </w:r>
      <w:r w:rsidR="00530C57" w:rsidRPr="00B5380B">
        <w:t>,</w:t>
      </w:r>
      <w:r w:rsidR="004672C4" w:rsidRPr="00B5380B">
        <w:t xml:space="preserve"> </w:t>
      </w:r>
      <w:r w:rsidR="008310F9" w:rsidRPr="00B5380B">
        <w:t xml:space="preserve">is crucial for </w:t>
      </w:r>
      <w:r w:rsidR="009238A7" w:rsidRPr="00B5380B">
        <w:t>maintaining downward pressure on</w:t>
      </w:r>
      <w:r w:rsidR="008E78C0" w:rsidRPr="00B5380B">
        <w:t xml:space="preserve"> the </w:t>
      </w:r>
      <w:r w:rsidR="00740BB4" w:rsidRPr="00B5380B">
        <w:t>cost of living</w:t>
      </w:r>
      <w:r w:rsidR="00C61CBD" w:rsidRPr="00B5380B">
        <w:t>.</w:t>
      </w:r>
      <w:r w:rsidR="0054258D">
        <w:t xml:space="preserve"> </w:t>
      </w:r>
    </w:p>
    <w:p w14:paraId="6C460450" w14:textId="4D19B05A" w:rsidR="00CB2A5C" w:rsidRPr="00B5380B" w:rsidRDefault="00CB01A5" w:rsidP="002B5E79">
      <w:pPr>
        <w:spacing w:line="276" w:lineRule="auto"/>
      </w:pPr>
      <w:r w:rsidRPr="00B5380B">
        <w:t xml:space="preserve">The Government asked the Competition Review to assess whether Australia’s merger control system is fit for purpose. </w:t>
      </w:r>
    </w:p>
    <w:p w14:paraId="649FAAD9" w14:textId="16E9B479" w:rsidR="00124D24" w:rsidRDefault="00CB01A5" w:rsidP="000E12E8">
      <w:pPr>
        <w:spacing w:line="276" w:lineRule="auto"/>
      </w:pPr>
      <w:r>
        <w:t xml:space="preserve">The Review consulted a diverse range of stakeholders. </w:t>
      </w:r>
      <w:r w:rsidR="00D212F5">
        <w:t xml:space="preserve">An Expert Panel, comprising </w:t>
      </w:r>
      <w:r w:rsidR="00AA1876" w:rsidRPr="00406629">
        <w:t>Kerry Schott</w:t>
      </w:r>
      <w:r w:rsidR="00AA1876">
        <w:t>,</w:t>
      </w:r>
      <w:r w:rsidR="00AA1876" w:rsidRPr="00406629">
        <w:t xml:space="preserve"> </w:t>
      </w:r>
      <w:r w:rsidR="00D212F5" w:rsidRPr="00406629">
        <w:t>David Gonski</w:t>
      </w:r>
      <w:r w:rsidR="003019EC">
        <w:t>,</w:t>
      </w:r>
      <w:r w:rsidR="00D212F5" w:rsidRPr="00406629">
        <w:t xml:space="preserve"> John Asker, Sharon Henrick, John Fingleton, Danielle Wood and Rod Sims</w:t>
      </w:r>
      <w:r w:rsidR="00D212F5">
        <w:t>, contributed their views</w:t>
      </w:r>
      <w:r w:rsidR="00D212F5" w:rsidRPr="00406629">
        <w:t>.</w:t>
      </w:r>
      <w:r w:rsidR="008B7C4D">
        <w:t xml:space="preserve"> </w:t>
      </w:r>
      <w:r>
        <w:t xml:space="preserve">Feedback from stakeholders </w:t>
      </w:r>
      <w:r w:rsidR="002B4026">
        <w:t>wa</w:t>
      </w:r>
      <w:r>
        <w:t xml:space="preserve">s clear: Australia’s current ‘ad hoc’ merger process is unfit for a modern economy, </w:t>
      </w:r>
      <w:r w:rsidR="004F1708">
        <w:t>lagging</w:t>
      </w:r>
      <w:r>
        <w:t xml:space="preserve"> best practice in comparable countries. For business, </w:t>
      </w:r>
      <w:r w:rsidR="005510BD">
        <w:t>some</w:t>
      </w:r>
      <w:r w:rsidR="00A446EA">
        <w:t xml:space="preserve"> </w:t>
      </w:r>
      <w:r w:rsidR="002231A9">
        <w:t>un</w:t>
      </w:r>
      <w:r w:rsidR="00A446EA">
        <w:t>contentious</w:t>
      </w:r>
      <w:r>
        <w:t xml:space="preserve"> mergers are subject to delays, uncertainty, and added costs – with only limited guidance provided. </w:t>
      </w:r>
      <w:r w:rsidR="003E6A3A">
        <w:t xml:space="preserve">For the wider community, engaging with </w:t>
      </w:r>
      <w:r w:rsidR="00DF4FF0">
        <w:t>the</w:t>
      </w:r>
      <w:r w:rsidR="003E6A3A">
        <w:t xml:space="preserve"> Australian Competition and Consumer Commission</w:t>
      </w:r>
      <w:r w:rsidR="00C257F3">
        <w:t>’s</w:t>
      </w:r>
      <w:r w:rsidR="003E6A3A">
        <w:t xml:space="preserve"> (ACCC</w:t>
      </w:r>
      <w:r w:rsidR="002B2917">
        <w:t>)</w:t>
      </w:r>
      <w:r w:rsidR="003E6A3A">
        <w:t xml:space="preserve"> merger reviews </w:t>
      </w:r>
      <w:r w:rsidR="00D212F5">
        <w:t>is</w:t>
      </w:r>
      <w:r w:rsidR="003E6A3A">
        <w:t xml:space="preserve"> often difficult. And for the ACCC itself, the </w:t>
      </w:r>
      <w:r w:rsidR="002D27B5">
        <w:t xml:space="preserve">current </w:t>
      </w:r>
      <w:r w:rsidR="003E6A3A">
        <w:t xml:space="preserve">merger </w:t>
      </w:r>
      <w:r w:rsidR="00944FE1">
        <w:t>approval process</w:t>
      </w:r>
      <w:r w:rsidR="003E6A3A">
        <w:t xml:space="preserve"> </w:t>
      </w:r>
      <w:r w:rsidR="00FD5B37">
        <w:t xml:space="preserve">can </w:t>
      </w:r>
      <w:r w:rsidR="003E6A3A">
        <w:t>impe</w:t>
      </w:r>
      <w:r w:rsidR="000E12E8">
        <w:t>de its ability to effectively and efficiently detect and prevent anti</w:t>
      </w:r>
      <w:r w:rsidR="002D27B5">
        <w:noBreakHyphen/>
      </w:r>
      <w:r w:rsidR="000E12E8">
        <w:t xml:space="preserve">competitive mergers. It </w:t>
      </w:r>
      <w:r w:rsidR="008F03AC">
        <w:t>often has to deal with</w:t>
      </w:r>
      <w:r w:rsidR="006C2F25">
        <w:t xml:space="preserve"> </w:t>
      </w:r>
      <w:r w:rsidR="007B752E">
        <w:t>inadequate notification</w:t>
      </w:r>
      <w:r w:rsidR="00E656BD">
        <w:t xml:space="preserve"> of mergers</w:t>
      </w:r>
      <w:r w:rsidR="007B752E">
        <w:t xml:space="preserve">, </w:t>
      </w:r>
      <w:r w:rsidR="00A9251B">
        <w:t>insufficient information,</w:t>
      </w:r>
      <w:r w:rsidR="007B752E">
        <w:t xml:space="preserve"> and </w:t>
      </w:r>
      <w:r w:rsidR="006C2F25">
        <w:t>a r</w:t>
      </w:r>
      <w:r w:rsidR="00AC0F5E">
        <w:t xml:space="preserve">eactive, adversarial </w:t>
      </w:r>
      <w:r w:rsidR="006C2F25">
        <w:t>approach</w:t>
      </w:r>
      <w:r w:rsidR="0033152D">
        <w:t xml:space="preserve"> from some businesses</w:t>
      </w:r>
      <w:r w:rsidR="00D12D9B">
        <w:t xml:space="preserve">, </w:t>
      </w:r>
      <w:r w:rsidR="000D39CB">
        <w:t xml:space="preserve">with limited </w:t>
      </w:r>
      <w:r w:rsidR="00111FBF">
        <w:t xml:space="preserve">capacity </w:t>
      </w:r>
      <w:r w:rsidR="00156156">
        <w:t xml:space="preserve">for </w:t>
      </w:r>
      <w:r w:rsidR="00111FBF">
        <w:t xml:space="preserve">economic </w:t>
      </w:r>
      <w:r w:rsidR="00620843">
        <w:t xml:space="preserve">evidence to be presented in </w:t>
      </w:r>
      <w:r w:rsidR="00D02723">
        <w:t>c</w:t>
      </w:r>
      <w:r w:rsidR="00620843">
        <w:t>ourt</w:t>
      </w:r>
      <w:r w:rsidR="00AC0F5E">
        <w:t>.</w:t>
      </w:r>
      <w:r>
        <w:t xml:space="preserve"> </w:t>
      </w:r>
    </w:p>
    <w:p w14:paraId="7A0D8AE2" w14:textId="1EBD3889" w:rsidR="008D07E0" w:rsidRPr="005766BD" w:rsidRDefault="00984F13" w:rsidP="005766BD">
      <w:pPr>
        <w:pStyle w:val="paragraph"/>
        <w:spacing w:before="0" w:beforeAutospacing="0" w:after="240" w:afterAutospacing="0"/>
        <w:textAlignment w:val="baseline"/>
        <w:rPr>
          <w:szCs w:val="20"/>
        </w:rPr>
      </w:pPr>
      <w:r w:rsidRPr="005766BD">
        <w:rPr>
          <w:rFonts w:ascii="Calibri Light" w:hAnsi="Calibri Light"/>
          <w:sz w:val="22"/>
          <w:szCs w:val="20"/>
        </w:rPr>
        <w:t>In response</w:t>
      </w:r>
      <w:r w:rsidR="00E656BD">
        <w:rPr>
          <w:rFonts w:ascii="Calibri Light" w:hAnsi="Calibri Light"/>
          <w:sz w:val="22"/>
          <w:szCs w:val="20"/>
        </w:rPr>
        <w:t xml:space="preserve"> to these problems</w:t>
      </w:r>
      <w:r w:rsidRPr="005766BD">
        <w:rPr>
          <w:rFonts w:ascii="Calibri Light" w:hAnsi="Calibri Light"/>
          <w:sz w:val="22"/>
          <w:szCs w:val="20"/>
        </w:rPr>
        <w:t>, the</w:t>
      </w:r>
      <w:r w:rsidR="00A902A1">
        <w:rPr>
          <w:rFonts w:ascii="Calibri Light" w:hAnsi="Calibri Light"/>
          <w:sz w:val="22"/>
          <w:szCs w:val="20"/>
        </w:rPr>
        <w:t xml:space="preserve"> Albanese Government</w:t>
      </w:r>
      <w:r w:rsidRPr="005766BD">
        <w:rPr>
          <w:rFonts w:ascii="Calibri Light" w:hAnsi="Calibri Light"/>
          <w:sz w:val="22"/>
          <w:szCs w:val="20"/>
        </w:rPr>
        <w:t xml:space="preserve"> </w:t>
      </w:r>
      <w:r w:rsidR="008D07E0" w:rsidRPr="005766BD">
        <w:rPr>
          <w:rFonts w:ascii="Calibri Light" w:hAnsi="Calibri Light"/>
          <w:sz w:val="22"/>
          <w:szCs w:val="20"/>
        </w:rPr>
        <w:t>will reform Australia’s merger rules to promote competition, protect consumers and provide greater certainty by streamlining the approvals process. </w:t>
      </w:r>
      <w:r w:rsidR="008D07E0">
        <w:rPr>
          <w:rFonts w:ascii="Calibri Light" w:hAnsi="Calibri Light"/>
          <w:sz w:val="22"/>
          <w:szCs w:val="20"/>
        </w:rPr>
        <w:t xml:space="preserve">The changes will make </w:t>
      </w:r>
      <w:r w:rsidR="008D07E0" w:rsidRPr="005766BD">
        <w:rPr>
          <w:rFonts w:ascii="Calibri Light" w:hAnsi="Calibri Light"/>
          <w:sz w:val="22"/>
          <w:szCs w:val="20"/>
        </w:rPr>
        <w:t>our merger approval system faster, stronger, simpler, more targeted and more transparent.</w:t>
      </w:r>
      <w:r w:rsidR="009407F2">
        <w:rPr>
          <w:rFonts w:ascii="Calibri Light" w:hAnsi="Calibri Light"/>
          <w:sz w:val="22"/>
          <w:szCs w:val="20"/>
        </w:rPr>
        <w:t xml:space="preserve"> </w:t>
      </w:r>
      <w:r w:rsidR="008D07E0" w:rsidRPr="005766BD">
        <w:rPr>
          <w:rFonts w:ascii="Calibri Light" w:hAnsi="Calibri Light"/>
          <w:sz w:val="22"/>
          <w:szCs w:val="20"/>
        </w:rPr>
        <w:t>The reforms will simplify and speed up the process for mergers</w:t>
      </w:r>
      <w:r w:rsidR="003D2557">
        <w:rPr>
          <w:rFonts w:ascii="Calibri Light" w:hAnsi="Calibri Light"/>
          <w:sz w:val="22"/>
          <w:szCs w:val="20"/>
        </w:rPr>
        <w:t>, consistent with the national interest,</w:t>
      </w:r>
      <w:r w:rsidR="008D07E0" w:rsidRPr="005766BD">
        <w:rPr>
          <w:rFonts w:ascii="Calibri Light" w:hAnsi="Calibri Light"/>
          <w:sz w:val="22"/>
          <w:szCs w:val="20"/>
        </w:rPr>
        <w:t xml:space="preserve"> and give the </w:t>
      </w:r>
      <w:r w:rsidR="007053C7">
        <w:rPr>
          <w:rFonts w:ascii="Calibri Light" w:hAnsi="Calibri Light"/>
          <w:sz w:val="22"/>
          <w:szCs w:val="20"/>
        </w:rPr>
        <w:t xml:space="preserve">ACCC </w:t>
      </w:r>
      <w:r w:rsidR="008D07E0" w:rsidRPr="005766BD">
        <w:rPr>
          <w:rFonts w:ascii="Calibri Light" w:hAnsi="Calibri Light"/>
          <w:sz w:val="22"/>
          <w:szCs w:val="20"/>
        </w:rPr>
        <w:t>stronger powers to identify and scrutinise transactions that pose a risk to competition, consumers and the economy. This</w:t>
      </w:r>
      <w:r w:rsidR="009407F2">
        <w:rPr>
          <w:rFonts w:ascii="Calibri Light" w:hAnsi="Calibri Light"/>
          <w:sz w:val="22"/>
          <w:szCs w:val="20"/>
        </w:rPr>
        <w:t xml:space="preserve"> will</w:t>
      </w:r>
      <w:r w:rsidR="008D07E0" w:rsidRPr="005766BD">
        <w:rPr>
          <w:rFonts w:ascii="Calibri Light" w:hAnsi="Calibri Light"/>
          <w:sz w:val="22"/>
          <w:szCs w:val="20"/>
        </w:rPr>
        <w:t xml:space="preserve"> mean more clarity and certainty for businesses, and </w:t>
      </w:r>
      <w:r w:rsidR="009407F2">
        <w:rPr>
          <w:rFonts w:ascii="Calibri Light" w:hAnsi="Calibri Light"/>
          <w:sz w:val="22"/>
          <w:szCs w:val="20"/>
        </w:rPr>
        <w:t>better</w:t>
      </w:r>
      <w:r w:rsidR="008D07E0" w:rsidRPr="005766BD">
        <w:rPr>
          <w:rFonts w:ascii="Calibri Light" w:hAnsi="Calibri Light"/>
          <w:sz w:val="22"/>
          <w:szCs w:val="20"/>
        </w:rPr>
        <w:t xml:space="preserve"> safeguard</w:t>
      </w:r>
      <w:r w:rsidR="009407F2">
        <w:rPr>
          <w:rFonts w:ascii="Calibri Light" w:hAnsi="Calibri Light"/>
          <w:sz w:val="22"/>
          <w:szCs w:val="20"/>
        </w:rPr>
        <w:t>ing of</w:t>
      </w:r>
      <w:r w:rsidR="008D07E0" w:rsidRPr="005766BD">
        <w:rPr>
          <w:rFonts w:ascii="Calibri Light" w:hAnsi="Calibri Light"/>
          <w:sz w:val="22"/>
          <w:szCs w:val="20"/>
        </w:rPr>
        <w:t xml:space="preserve"> consumers.</w:t>
      </w:r>
    </w:p>
    <w:p w14:paraId="3F880098" w14:textId="77777777" w:rsidR="00BE3292" w:rsidRDefault="00BE3292">
      <w:pPr>
        <w:spacing w:before="0" w:after="160" w:line="259" w:lineRule="auto"/>
      </w:pPr>
      <w:r>
        <w:br w:type="page"/>
      </w:r>
    </w:p>
    <w:p w14:paraId="583074D4" w14:textId="6236A4F0" w:rsidR="006F2D26" w:rsidRDefault="00F809EF" w:rsidP="00713F05">
      <w:r>
        <w:lastRenderedPageBreak/>
        <w:t>T</w:t>
      </w:r>
      <w:r w:rsidR="00CB01A5">
        <w:t>he Government</w:t>
      </w:r>
      <w:r>
        <w:t xml:space="preserve">’s </w:t>
      </w:r>
      <w:r w:rsidR="00B67637">
        <w:t xml:space="preserve">reformed </w:t>
      </w:r>
      <w:r w:rsidR="00730DEF">
        <w:t>merger system</w:t>
      </w:r>
      <w:r w:rsidR="00CB01A5">
        <w:t xml:space="preserve"> will</w:t>
      </w:r>
      <w:r w:rsidR="00B67637">
        <w:t xml:space="preserve"> be:</w:t>
      </w:r>
      <w:r w:rsidR="00CB01A5">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C015F7" w14:paraId="31EBE0F4" w14:textId="77777777" w:rsidTr="00730DEF">
        <w:tc>
          <w:tcPr>
            <w:tcW w:w="1701" w:type="dxa"/>
          </w:tcPr>
          <w:p w14:paraId="20518034" w14:textId="6A20172D" w:rsidR="00C015F7" w:rsidRDefault="00C015F7" w:rsidP="00631B02">
            <w:pPr>
              <w:pStyle w:val="Bullet"/>
              <w:numPr>
                <w:ilvl w:val="0"/>
                <w:numId w:val="0"/>
              </w:numPr>
            </w:pPr>
          </w:p>
          <w:p w14:paraId="6B112C22" w14:textId="123A857F" w:rsidR="000C4C5A" w:rsidRDefault="00D972F8" w:rsidP="00631B02">
            <w:pPr>
              <w:pStyle w:val="Bullet"/>
              <w:numPr>
                <w:ilvl w:val="0"/>
                <w:numId w:val="0"/>
              </w:numPr>
            </w:pPr>
            <w:r>
              <w:rPr>
                <w:noProof/>
              </w:rPr>
              <w:drawing>
                <wp:inline distT="0" distB="0" distL="0" distR="0" wp14:anchorId="0F650BBA" wp14:editId="6B287185">
                  <wp:extent cx="763325" cy="763325"/>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63325" cy="763325"/>
                          </a:xfrm>
                          <a:prstGeom prst="rect">
                            <a:avLst/>
                          </a:prstGeom>
                        </pic:spPr>
                      </pic:pic>
                    </a:graphicData>
                  </a:graphic>
                </wp:inline>
              </w:drawing>
            </w:r>
          </w:p>
        </w:tc>
        <w:tc>
          <w:tcPr>
            <w:tcW w:w="7315" w:type="dxa"/>
          </w:tcPr>
          <w:p w14:paraId="0CD71276" w14:textId="09C8234C" w:rsidR="00C015F7" w:rsidRDefault="00C015F7" w:rsidP="00C015F7">
            <w:pPr>
              <w:spacing w:line="276" w:lineRule="auto"/>
              <w:rPr>
                <w:b/>
              </w:rPr>
            </w:pPr>
            <w:r>
              <w:rPr>
                <w:b/>
                <w:bCs/>
              </w:rPr>
              <w:t>Stronger</w:t>
            </w:r>
            <w:r>
              <w:t xml:space="preserve">: </w:t>
            </w:r>
            <w:r w:rsidR="00A1130E">
              <w:t>A</w:t>
            </w:r>
            <w:r w:rsidR="00B67637">
              <w:t xml:space="preserve"> mandatory and suspensory administrative system for mergers</w:t>
            </w:r>
            <w:r w:rsidR="00A1130E">
              <w:t xml:space="preserve"> will be introduced, with the</w:t>
            </w:r>
            <w:r>
              <w:t xml:space="preserve"> ACCC the expert</w:t>
            </w:r>
            <w:r w:rsidR="00951779">
              <w:t>,</w:t>
            </w:r>
            <w:r>
              <w:t xml:space="preserve"> first instance decision-maker. A merger may proceed, unless the ACCC reasonably believes </w:t>
            </w:r>
            <w:r w:rsidR="001A525C">
              <w:t>it</w:t>
            </w:r>
            <w:r>
              <w:t xml:space="preserve"> is likely to substantially lessen competition, includ</w:t>
            </w:r>
            <w:r w:rsidR="002E28AC">
              <w:t>ing</w:t>
            </w:r>
            <w:r>
              <w:t xml:space="preserve"> if it creates, strengthens, or entrenches substantial market power. If the ACCC does not </w:t>
            </w:r>
            <w:r w:rsidR="00D051F7">
              <w:t xml:space="preserve">make a decision </w:t>
            </w:r>
            <w:r>
              <w:t xml:space="preserve">within a certain time, the merger will be permitted to proceed. </w:t>
            </w:r>
            <w:r w:rsidR="007A6F7A">
              <w:t>R</w:t>
            </w:r>
            <w:r>
              <w:t xml:space="preserve">eview </w:t>
            </w:r>
            <w:r w:rsidR="007A6F7A">
              <w:t xml:space="preserve">of decisions will be available </w:t>
            </w:r>
            <w:r>
              <w:t xml:space="preserve">in the Australian Competition Tribunal (Tribunal). </w:t>
            </w:r>
          </w:p>
        </w:tc>
      </w:tr>
      <w:tr w:rsidR="00EE691F" w14:paraId="0A55015C" w14:textId="77777777" w:rsidTr="00730DEF">
        <w:tc>
          <w:tcPr>
            <w:tcW w:w="1701" w:type="dxa"/>
          </w:tcPr>
          <w:p w14:paraId="25816211" w14:textId="2A859961" w:rsidR="00B50C41" w:rsidRDefault="00B50C41" w:rsidP="00631B02">
            <w:pPr>
              <w:pStyle w:val="Bullet"/>
              <w:numPr>
                <w:ilvl w:val="0"/>
                <w:numId w:val="0"/>
              </w:numPr>
              <w:rPr>
                <w:noProof/>
              </w:rPr>
            </w:pPr>
          </w:p>
          <w:p w14:paraId="79402B01" w14:textId="2262272C" w:rsidR="00EE691F" w:rsidRDefault="000C4C5A" w:rsidP="00631B02">
            <w:pPr>
              <w:pStyle w:val="Bullet"/>
              <w:numPr>
                <w:ilvl w:val="0"/>
                <w:numId w:val="0"/>
              </w:numPr>
            </w:pPr>
            <w:r>
              <w:rPr>
                <w:noProof/>
              </w:rPr>
              <w:drawing>
                <wp:inline distT="0" distB="0" distL="0" distR="0" wp14:anchorId="4FFAF6CB" wp14:editId="69DAAA1A">
                  <wp:extent cx="748146" cy="748146"/>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48146" cy="748146"/>
                          </a:xfrm>
                          <a:prstGeom prst="rect">
                            <a:avLst/>
                          </a:prstGeom>
                        </pic:spPr>
                      </pic:pic>
                    </a:graphicData>
                  </a:graphic>
                </wp:inline>
              </w:drawing>
            </w:r>
          </w:p>
        </w:tc>
        <w:tc>
          <w:tcPr>
            <w:tcW w:w="7315" w:type="dxa"/>
          </w:tcPr>
          <w:p w14:paraId="2DBEC33F" w14:textId="65ECCE61" w:rsidR="00EE691F" w:rsidRDefault="001015D6" w:rsidP="008C57DB">
            <w:pPr>
              <w:spacing w:line="276" w:lineRule="auto"/>
            </w:pPr>
            <w:bookmarkStart w:id="6" w:name="_Hlk163469101"/>
            <w:r>
              <w:rPr>
                <w:b/>
              </w:rPr>
              <w:t>Simpler</w:t>
            </w:r>
            <w:r>
              <w:t xml:space="preserve">: The ACCC will be </w:t>
            </w:r>
            <w:r w:rsidR="006A75B6">
              <w:t>responsible</w:t>
            </w:r>
            <w:r>
              <w:t xml:space="preserve"> for a single merger control</w:t>
            </w:r>
            <w:r w:rsidR="006A75B6">
              <w:t xml:space="preserve"> </w:t>
            </w:r>
            <w:r>
              <w:t xml:space="preserve">pathway, replacing the </w:t>
            </w:r>
            <w:r w:rsidR="004671E4">
              <w:t xml:space="preserve">current </w:t>
            </w:r>
            <w:r>
              <w:t>three</w:t>
            </w:r>
            <w:r w:rsidR="009E1B60">
              <w:t>,</w:t>
            </w:r>
            <w:r>
              <w:t xml:space="preserve"> ad hoc</w:t>
            </w:r>
            <w:r w:rsidR="00106533">
              <w:t>, voluntary</w:t>
            </w:r>
            <w:r>
              <w:t xml:space="preserve"> and fragmented pathways</w:t>
            </w:r>
            <w:r w:rsidR="00C1456F">
              <w:t>.</w:t>
            </w:r>
            <w:r>
              <w:t xml:space="preserve"> All mergers above a threshold will be subject to </w:t>
            </w:r>
            <w:r w:rsidR="00745746">
              <w:t>the</w:t>
            </w:r>
            <w:r>
              <w:t xml:space="preserve"> system. </w:t>
            </w:r>
            <w:bookmarkEnd w:id="6"/>
            <w:r w:rsidR="00997AD7">
              <w:t>A</w:t>
            </w:r>
            <w:r>
              <w:t xml:space="preserve"> single pathway </w:t>
            </w:r>
            <w:r w:rsidR="00997AD7">
              <w:t xml:space="preserve">will </w:t>
            </w:r>
            <w:r>
              <w:t>strengthen</w:t>
            </w:r>
            <w:r w:rsidR="00997AD7">
              <w:t xml:space="preserve"> system</w:t>
            </w:r>
            <w:r>
              <w:t xml:space="preserve"> integrity by removing the ability for merger proponents to ‘cherry</w:t>
            </w:r>
            <w:r w:rsidDel="00EC3155">
              <w:t xml:space="preserve"> </w:t>
            </w:r>
            <w:r>
              <w:t xml:space="preserve">pick’ the path best able to avoid detection. </w:t>
            </w:r>
            <w:r w:rsidR="00745746">
              <w:t>M</w:t>
            </w:r>
            <w:r>
              <w:t xml:space="preserve">ergers will be differentiated by </w:t>
            </w:r>
            <w:r w:rsidR="72315148">
              <w:t>the</w:t>
            </w:r>
            <w:r>
              <w:t xml:space="preserve"> risk</w:t>
            </w:r>
            <w:r w:rsidR="3C3E7185">
              <w:t xml:space="preserve"> they pose </w:t>
            </w:r>
            <w:r w:rsidR="000B434E">
              <w:t>to</w:t>
            </w:r>
            <w:r w:rsidR="3C3E7185">
              <w:t xml:space="preserve"> the community</w:t>
            </w:r>
            <w:r>
              <w:t xml:space="preserve">. </w:t>
            </w:r>
          </w:p>
        </w:tc>
      </w:tr>
      <w:tr w:rsidR="00EE691F" w14:paraId="7FB6DCB6" w14:textId="77777777" w:rsidTr="00730DEF">
        <w:tc>
          <w:tcPr>
            <w:tcW w:w="1701" w:type="dxa"/>
          </w:tcPr>
          <w:p w14:paraId="43D8E9FC" w14:textId="216AFDAA" w:rsidR="008B0E01" w:rsidRDefault="00C52C13" w:rsidP="00730DEF">
            <w:pPr>
              <w:pStyle w:val="Bullet"/>
              <w:numPr>
                <w:ilvl w:val="0"/>
                <w:numId w:val="0"/>
              </w:numPr>
              <w:spacing w:after="0"/>
            </w:pPr>
            <w:r w:rsidRPr="00C52C13">
              <w:rPr>
                <w:noProof/>
              </w:rPr>
              <w:drawing>
                <wp:anchor distT="0" distB="0" distL="114300" distR="114300" simplePos="0" relativeHeight="251658244" behindDoc="0" locked="0" layoutInCell="1" allowOverlap="1" wp14:anchorId="4B38A95F" wp14:editId="39385BF9">
                  <wp:simplePos x="0" y="0"/>
                  <wp:positionH relativeFrom="column">
                    <wp:posOffset>-5080</wp:posOffset>
                  </wp:positionH>
                  <wp:positionV relativeFrom="paragraph">
                    <wp:posOffset>333213</wp:posOffset>
                  </wp:positionV>
                  <wp:extent cx="701675" cy="701675"/>
                  <wp:effectExtent l="0" t="0" r="0" b="0"/>
                  <wp:wrapSquare wrapText="bothSides"/>
                  <wp:docPr id="37" name="Graphic 37">
                    <a:extLst xmlns:a="http://schemas.openxmlformats.org/drawingml/2006/main">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p>
          <w:p w14:paraId="7A21E61C" w14:textId="4BE91EDC" w:rsidR="00EE691F" w:rsidRDefault="00EE691F" w:rsidP="00631B02">
            <w:pPr>
              <w:pStyle w:val="Bullet"/>
              <w:numPr>
                <w:ilvl w:val="0"/>
                <w:numId w:val="0"/>
              </w:numPr>
            </w:pPr>
          </w:p>
        </w:tc>
        <w:tc>
          <w:tcPr>
            <w:tcW w:w="7315" w:type="dxa"/>
          </w:tcPr>
          <w:p w14:paraId="0185A927" w14:textId="224AC7E7" w:rsidR="00CB2A5C" w:rsidRDefault="001015D6" w:rsidP="008C57DB">
            <w:pPr>
              <w:spacing w:line="276" w:lineRule="auto"/>
            </w:pPr>
            <w:bookmarkStart w:id="7" w:name="_Hlk163469134"/>
            <w:r>
              <w:rPr>
                <w:b/>
                <w:bCs/>
              </w:rPr>
              <w:t>Targeted</w:t>
            </w:r>
            <w:r>
              <w:t xml:space="preserve">: </w:t>
            </w:r>
            <w:r w:rsidR="00674DB4">
              <w:t>ACCC m</w:t>
            </w:r>
            <w:r>
              <w:t xml:space="preserve">erger reviews will be risk-based. </w:t>
            </w:r>
            <w:r w:rsidR="00461DF2">
              <w:t>With</w:t>
            </w:r>
            <w:r>
              <w:t xml:space="preserve"> clear information requirements upfront, the ACCC will be able to quickly differentiate (and approve) benign mergers from those requiring greater scrutiny. </w:t>
            </w:r>
            <w:bookmarkEnd w:id="7"/>
            <w:r w:rsidR="00674DB4">
              <w:t>M</w:t>
            </w:r>
            <w:r w:rsidR="00463ABF">
              <w:t xml:space="preserve">ergers subject to review will be charged cost recovery fees, </w:t>
            </w:r>
            <w:r w:rsidR="00834E05">
              <w:t xml:space="preserve">scaled to reflect </w:t>
            </w:r>
            <w:r w:rsidR="00461DF2">
              <w:t xml:space="preserve">the </w:t>
            </w:r>
            <w:r w:rsidR="00834E05">
              <w:t xml:space="preserve">complexity and risk </w:t>
            </w:r>
            <w:r w:rsidR="00461DF2">
              <w:t>of the</w:t>
            </w:r>
            <w:r w:rsidR="006936D6">
              <w:t xml:space="preserve"> </w:t>
            </w:r>
            <w:r w:rsidR="00463ABF">
              <w:t>m</w:t>
            </w:r>
            <w:r>
              <w:t xml:space="preserve">erger. </w:t>
            </w:r>
            <w:r w:rsidR="00230F7F">
              <w:t>C</w:t>
            </w:r>
            <w:r w:rsidR="00463ABF">
              <w:t>onsistent with comparable jurisdictions overseas</w:t>
            </w:r>
            <w:r w:rsidR="00230F7F">
              <w:t>, f</w:t>
            </w:r>
            <w:r w:rsidR="00463ABF">
              <w:t xml:space="preserve">ees are </w:t>
            </w:r>
            <w:r w:rsidR="009132E2">
              <w:t xml:space="preserve">likely to be in the range of </w:t>
            </w:r>
            <w:r w:rsidR="00463ABF" w:rsidRPr="00273725">
              <w:t>$</w:t>
            </w:r>
            <w:r w:rsidR="00463ABF">
              <w:t>5</w:t>
            </w:r>
            <w:r w:rsidR="00463ABF" w:rsidRPr="00273725">
              <w:t>0,000</w:t>
            </w:r>
            <w:r w:rsidR="00B86B9B">
              <w:t>-100</w:t>
            </w:r>
            <w:r w:rsidR="00853833">
              <w:t>,000</w:t>
            </w:r>
            <w:r w:rsidR="00463ABF">
              <w:t>.</w:t>
            </w:r>
            <w:r w:rsidR="0059F710">
              <w:t xml:space="preserve"> There will be additional fees for Tribunal review.</w:t>
            </w:r>
            <w:r w:rsidR="000116FA">
              <w:t xml:space="preserve"> An </w:t>
            </w:r>
            <w:r w:rsidR="001F3A6C">
              <w:t>exemption</w:t>
            </w:r>
            <w:r w:rsidR="000116FA">
              <w:t xml:space="preserve"> </w:t>
            </w:r>
            <w:r w:rsidR="006B24DC">
              <w:t xml:space="preserve">from fees </w:t>
            </w:r>
            <w:r w:rsidR="000116FA">
              <w:t>will be available for small business.</w:t>
            </w:r>
          </w:p>
        </w:tc>
      </w:tr>
      <w:tr w:rsidR="00EE691F" w14:paraId="63217E19" w14:textId="77777777" w:rsidTr="00730DEF">
        <w:tc>
          <w:tcPr>
            <w:tcW w:w="1701" w:type="dxa"/>
          </w:tcPr>
          <w:p w14:paraId="4E1F2196" w14:textId="544D1543" w:rsidR="00B548EF" w:rsidRDefault="00B548EF" w:rsidP="00631B02">
            <w:pPr>
              <w:pStyle w:val="Bullet"/>
              <w:numPr>
                <w:ilvl w:val="0"/>
                <w:numId w:val="0"/>
              </w:numPr>
            </w:pPr>
          </w:p>
          <w:p w14:paraId="51DD136A" w14:textId="3E8E908B" w:rsidR="00EE691F" w:rsidRDefault="00B548EF" w:rsidP="00631B02">
            <w:pPr>
              <w:pStyle w:val="Bullet"/>
              <w:numPr>
                <w:ilvl w:val="0"/>
                <w:numId w:val="0"/>
              </w:numPr>
            </w:pPr>
            <w:r>
              <w:rPr>
                <w:noProof/>
              </w:rPr>
              <w:drawing>
                <wp:inline distT="0" distB="0" distL="0" distR="0" wp14:anchorId="0F1E0724" wp14:editId="6AE1DFD4">
                  <wp:extent cx="731520" cy="73152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33572" cy="733572"/>
                          </a:xfrm>
                          <a:prstGeom prst="rect">
                            <a:avLst/>
                          </a:prstGeom>
                        </pic:spPr>
                      </pic:pic>
                    </a:graphicData>
                  </a:graphic>
                </wp:inline>
              </w:drawing>
            </w:r>
          </w:p>
        </w:tc>
        <w:tc>
          <w:tcPr>
            <w:tcW w:w="7315" w:type="dxa"/>
          </w:tcPr>
          <w:p w14:paraId="293EA3E0" w14:textId="1DD9DDD2" w:rsidR="0043534B" w:rsidRDefault="0043534B" w:rsidP="00631B02">
            <w:pPr>
              <w:pStyle w:val="Bullet"/>
              <w:numPr>
                <w:ilvl w:val="0"/>
                <w:numId w:val="0"/>
              </w:numPr>
            </w:pPr>
            <w:bookmarkStart w:id="8" w:name="_Hlk163469145"/>
            <w:r>
              <w:rPr>
                <w:b/>
              </w:rPr>
              <w:t>Faster</w:t>
            </w:r>
            <w:r w:rsidR="00041CB9">
              <w:t xml:space="preserve">: </w:t>
            </w:r>
            <w:r w:rsidR="00F6092A">
              <w:t>M</w:t>
            </w:r>
            <w:r w:rsidR="0060025F">
              <w:t xml:space="preserve">ergers </w:t>
            </w:r>
            <w:r w:rsidR="008C57DB">
              <w:t xml:space="preserve">may proceed </w:t>
            </w:r>
            <w:r w:rsidR="00041CB9">
              <w:t xml:space="preserve">within 30 working days where no competition concerns are raised by the ACCC, with </w:t>
            </w:r>
            <w:r w:rsidR="00633CBF">
              <w:t>the option of</w:t>
            </w:r>
            <w:r w:rsidR="00041CB9">
              <w:t xml:space="preserve"> ‘fast-track’ </w:t>
            </w:r>
            <w:r w:rsidR="00F15A10">
              <w:t xml:space="preserve">determination </w:t>
            </w:r>
            <w:r w:rsidR="00041CB9">
              <w:t xml:space="preserve">if no concerns are identified after 15 working days. </w:t>
            </w:r>
            <w:bookmarkEnd w:id="8"/>
            <w:r w:rsidR="00041CB9">
              <w:t xml:space="preserve">The vast majority of mergers will either not have to </w:t>
            </w:r>
            <w:r w:rsidR="00BE7298">
              <w:t xml:space="preserve">be </w:t>
            </w:r>
            <w:r w:rsidR="00041CB9">
              <w:t>notif</w:t>
            </w:r>
            <w:r w:rsidR="00BE7298">
              <w:t>ied</w:t>
            </w:r>
            <w:r w:rsidR="00041CB9">
              <w:t xml:space="preserve"> (because they fall below the notification threshold</w:t>
            </w:r>
            <w:r w:rsidR="00D3582E">
              <w:t>s</w:t>
            </w:r>
            <w:r w:rsidR="00041CB9">
              <w:t xml:space="preserve">) or </w:t>
            </w:r>
            <w:r w:rsidR="008C57DB">
              <w:t>can proceed</w:t>
            </w:r>
            <w:r w:rsidR="00041CB9">
              <w:t xml:space="preserve"> within three to six weeks. Where competition concerns are raised, </w:t>
            </w:r>
            <w:r w:rsidR="00D64E1B">
              <w:t xml:space="preserve">the ACCC will undertake an in-depth assessment </w:t>
            </w:r>
            <w:r w:rsidR="00041CB9">
              <w:t>within a 4</w:t>
            </w:r>
            <w:r w:rsidR="005125DA">
              <w:noBreakHyphen/>
            </w:r>
            <w:r w:rsidR="00041CB9">
              <w:t>and-a-half-month period</w:t>
            </w:r>
            <w:r w:rsidR="00D66ADC">
              <w:t>.</w:t>
            </w:r>
            <w:r w:rsidR="00244C45">
              <w:t xml:space="preserve"> A fast-track procedure will also be available for Tribunal review.</w:t>
            </w:r>
          </w:p>
        </w:tc>
      </w:tr>
      <w:tr w:rsidR="0043534B" w14:paraId="2DBDE84B" w14:textId="77777777" w:rsidTr="00730DEF">
        <w:trPr>
          <w:trHeight w:val="1331"/>
        </w:trPr>
        <w:tc>
          <w:tcPr>
            <w:tcW w:w="1701" w:type="dxa"/>
          </w:tcPr>
          <w:p w14:paraId="7F732375" w14:textId="37C93F4F" w:rsidR="000C4C5A" w:rsidRDefault="000C4C5A" w:rsidP="0043534B">
            <w:pPr>
              <w:pStyle w:val="Bullet"/>
              <w:numPr>
                <w:ilvl w:val="0"/>
                <w:numId w:val="0"/>
              </w:numPr>
            </w:pPr>
            <w:r>
              <w:rPr>
                <w:noProof/>
              </w:rPr>
              <w:drawing>
                <wp:inline distT="0" distB="0" distL="0" distR="0" wp14:anchorId="77D69A3D" wp14:editId="3EF119C7">
                  <wp:extent cx="741600" cy="7416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41600" cy="741600"/>
                          </a:xfrm>
                          <a:prstGeom prst="rect">
                            <a:avLst/>
                          </a:prstGeom>
                        </pic:spPr>
                      </pic:pic>
                    </a:graphicData>
                  </a:graphic>
                </wp:inline>
              </w:drawing>
            </w:r>
          </w:p>
        </w:tc>
        <w:tc>
          <w:tcPr>
            <w:tcW w:w="7315" w:type="dxa"/>
          </w:tcPr>
          <w:p w14:paraId="7F2446D2" w14:textId="3A519AC7" w:rsidR="006E2E1E" w:rsidRPr="006E2E1E" w:rsidDel="0043534B" w:rsidRDefault="0043534B" w:rsidP="00730DEF">
            <w:pPr>
              <w:pStyle w:val="Bullet"/>
              <w:numPr>
                <w:ilvl w:val="0"/>
                <w:numId w:val="0"/>
              </w:numPr>
            </w:pPr>
            <w:bookmarkStart w:id="9" w:name="_Hlk163469155"/>
            <w:r>
              <w:rPr>
                <w:b/>
              </w:rPr>
              <w:t>Transparent</w:t>
            </w:r>
            <w:r>
              <w:t>: The ACCC will identify the up-front information needed for merger</w:t>
            </w:r>
            <w:r w:rsidR="00AF588E">
              <w:t>s</w:t>
            </w:r>
            <w:r>
              <w:t xml:space="preserve">, maintain a public register of all merger reviews </w:t>
            </w:r>
            <w:r w:rsidR="00264A66">
              <w:t xml:space="preserve">setting out details of notified mergers </w:t>
            </w:r>
            <w:r>
              <w:t xml:space="preserve">and publish reasons for determinations. </w:t>
            </w:r>
            <w:bookmarkEnd w:id="9"/>
          </w:p>
        </w:tc>
      </w:tr>
    </w:tbl>
    <w:p w14:paraId="77F64CEC" w14:textId="2EAA42AC" w:rsidR="00F809EF" w:rsidRDefault="00F82C8B" w:rsidP="00CB01A5">
      <w:r>
        <w:t>T</w:t>
      </w:r>
      <w:r w:rsidR="00F809EF">
        <w:t xml:space="preserve">he </w:t>
      </w:r>
      <w:r w:rsidR="00812F82">
        <w:t>new merger control system</w:t>
      </w:r>
      <w:r w:rsidR="00F809EF">
        <w:t xml:space="preserve"> will apply from 1 January 202</w:t>
      </w:r>
      <w:r w:rsidR="000110FD">
        <w:t>6</w:t>
      </w:r>
      <w:r w:rsidR="00F809EF">
        <w:t>.</w:t>
      </w:r>
    </w:p>
    <w:p w14:paraId="0914F489" w14:textId="5B1CB91C" w:rsidR="00AF6378" w:rsidRDefault="0038130A" w:rsidP="00CB01A5">
      <w:r>
        <w:t xml:space="preserve">Greater certainty </w:t>
      </w:r>
      <w:r w:rsidR="00996BCA">
        <w:t>and speed</w:t>
      </w:r>
      <w:r>
        <w:t xml:space="preserve"> will </w:t>
      </w:r>
      <w:r w:rsidR="00AD41DD">
        <w:t xml:space="preserve">reduce cost and </w:t>
      </w:r>
      <w:r w:rsidR="003228E0">
        <w:t>facilitate valuable investment</w:t>
      </w:r>
      <w:r w:rsidR="00B83AE2">
        <w:t xml:space="preserve"> in pro-competitive and benign mergers</w:t>
      </w:r>
      <w:r w:rsidR="00C04108" w:rsidRPr="00C04108">
        <w:t>.</w:t>
      </w:r>
      <w:r w:rsidR="00CB01A5">
        <w:t xml:space="preserve"> Consumers and businesses</w:t>
      </w:r>
      <w:r w:rsidR="001A16F5">
        <w:t>,</w:t>
      </w:r>
      <w:r w:rsidR="00CB01A5">
        <w:t xml:space="preserve"> along with the broader community</w:t>
      </w:r>
      <w:r w:rsidR="001A16F5">
        <w:t>,</w:t>
      </w:r>
      <w:r w:rsidR="00CB01A5">
        <w:t xml:space="preserve"> will be better informed and more confident </w:t>
      </w:r>
      <w:r w:rsidR="00EA5ADB">
        <w:t xml:space="preserve">that the </w:t>
      </w:r>
      <w:r w:rsidR="00CB01A5">
        <w:t xml:space="preserve">ACCC </w:t>
      </w:r>
      <w:r w:rsidR="00EA5ADB">
        <w:t xml:space="preserve">has </w:t>
      </w:r>
      <w:r w:rsidR="00CB01A5">
        <w:t>the toolkit to perform its gatekeeper role</w:t>
      </w:r>
      <w:r w:rsidR="000971E1">
        <w:t xml:space="preserve"> </w:t>
      </w:r>
      <w:r w:rsidR="00B958E9">
        <w:t>and</w:t>
      </w:r>
      <w:r w:rsidR="00531DED">
        <w:t xml:space="preserve"> effectively </w:t>
      </w:r>
      <w:r w:rsidR="0067717C">
        <w:t xml:space="preserve">review mergers, including </w:t>
      </w:r>
      <w:r w:rsidR="00F619C2">
        <w:t>serial acquisitions and mergers by businesses with substantial market power</w:t>
      </w:r>
      <w:r w:rsidR="00CB01A5">
        <w:t xml:space="preserve">. </w:t>
      </w:r>
      <w:r w:rsidR="0068224E">
        <w:t>M</w:t>
      </w:r>
      <w:r w:rsidR="00CB01A5">
        <w:t>aintaining competition in the marketplace and encouraging business dynamism through an efficient and effective risk-based merger system will lead to better outcomes</w:t>
      </w:r>
      <w:r w:rsidR="0068224E">
        <w:t xml:space="preserve"> for Australians</w:t>
      </w:r>
      <w:r w:rsidR="00CB01A5">
        <w:t>.</w:t>
      </w:r>
      <w:r w:rsidR="00556CB0" w:rsidRPr="00556CB0">
        <w:t xml:space="preserve"> </w:t>
      </w:r>
    </w:p>
    <w:p w14:paraId="42CBF84B" w14:textId="7A0AD035" w:rsidR="00CB01A5" w:rsidRDefault="00CB01A5" w:rsidP="00CB01A5">
      <w:r>
        <w:lastRenderedPageBreak/>
        <w:t>T</w:t>
      </w:r>
      <w:r w:rsidR="009B4537">
        <w:t>he Government recognis</w:t>
      </w:r>
      <w:r w:rsidR="00797634">
        <w:t>es this</w:t>
      </w:r>
      <w:r>
        <w:t xml:space="preserve"> new, streamlined merger system </w:t>
      </w:r>
      <w:r w:rsidR="008F208F">
        <w:t xml:space="preserve">involves significant change, including for business, advisors, the ACCC and the Tribunal. </w:t>
      </w:r>
      <w:r w:rsidR="00FE1804">
        <w:t xml:space="preserve">The ACCC will be given the resources and </w:t>
      </w:r>
      <w:r w:rsidR="00993C0D">
        <w:t xml:space="preserve">mandate </w:t>
      </w:r>
      <w:r w:rsidR="00FE1804" w:rsidRPr="00592DB1">
        <w:t xml:space="preserve">to act as </w:t>
      </w:r>
      <w:r w:rsidR="005434B9">
        <w:t xml:space="preserve">merger system </w:t>
      </w:r>
      <w:r w:rsidR="00FE1804" w:rsidRPr="00592DB1">
        <w:t xml:space="preserve">steward </w:t>
      </w:r>
      <w:r w:rsidR="00C16607" w:rsidRPr="00592DB1">
        <w:t>to promote and maintain competitive markets in Australia</w:t>
      </w:r>
      <w:r w:rsidR="0065474F" w:rsidRPr="00592DB1">
        <w:t>.</w:t>
      </w:r>
      <w:r w:rsidR="00F774AB" w:rsidRPr="00592DB1">
        <w:t xml:space="preserve"> </w:t>
      </w:r>
      <w:r w:rsidR="00C41D51" w:rsidRPr="00673EC6">
        <w:t>A</w:t>
      </w:r>
      <w:r w:rsidR="00653F97" w:rsidRPr="00592DB1">
        <w:t xml:space="preserve"> shift in capabilities and practice will </w:t>
      </w:r>
      <w:r w:rsidR="00E90486" w:rsidRPr="00592DB1">
        <w:t xml:space="preserve">be required to </w:t>
      </w:r>
      <w:r w:rsidR="00741701" w:rsidRPr="00592DB1">
        <w:t xml:space="preserve">support the </w:t>
      </w:r>
      <w:r w:rsidR="00065519" w:rsidRPr="00592DB1">
        <w:t xml:space="preserve">change from </w:t>
      </w:r>
      <w:r w:rsidRPr="00592DB1">
        <w:t xml:space="preserve">enforcement </w:t>
      </w:r>
      <w:r w:rsidR="004A48FC" w:rsidRPr="00592DB1">
        <w:t xml:space="preserve">action in </w:t>
      </w:r>
      <w:r w:rsidRPr="00592DB1">
        <w:t xml:space="preserve">court to </w:t>
      </w:r>
      <w:r w:rsidR="00E60557" w:rsidRPr="00592DB1">
        <w:t xml:space="preserve">more </w:t>
      </w:r>
      <w:r w:rsidR="00E71C5B" w:rsidRPr="00592DB1">
        <w:t>data-</w:t>
      </w:r>
      <w:r w:rsidR="00E60557" w:rsidRPr="00592DB1">
        <w:t xml:space="preserve"> and</w:t>
      </w:r>
      <w:r w:rsidR="00065519" w:rsidRPr="00592DB1">
        <w:t xml:space="preserve"> economics</w:t>
      </w:r>
      <w:r w:rsidR="003E0FAF" w:rsidRPr="00592DB1">
        <w:t>-</w:t>
      </w:r>
      <w:r w:rsidR="000A780B" w:rsidRPr="00592DB1">
        <w:t>led</w:t>
      </w:r>
      <w:r w:rsidR="00065519" w:rsidRPr="00592DB1">
        <w:t xml:space="preserve"> administrative</w:t>
      </w:r>
      <w:r w:rsidR="00065519" w:rsidRPr="002912FF">
        <w:t xml:space="preserve"> decision-mak</w:t>
      </w:r>
      <w:r w:rsidR="00D47281">
        <w:t>ing</w:t>
      </w:r>
      <w:r>
        <w:t>.</w:t>
      </w:r>
      <w:r w:rsidRPr="002912FF">
        <w:t xml:space="preserve"> </w:t>
      </w:r>
      <w:r>
        <w:t>T</w:t>
      </w:r>
      <w:r w:rsidR="00F425AA">
        <w:t xml:space="preserve">o </w:t>
      </w:r>
      <w:r w:rsidR="00AE589A">
        <w:t>facilitate</w:t>
      </w:r>
      <w:r w:rsidR="00F425AA">
        <w:t xml:space="preserve"> this change, </w:t>
      </w:r>
      <w:r w:rsidR="00B60FA4">
        <w:t xml:space="preserve">new performance standards will be set for </w:t>
      </w:r>
      <w:r w:rsidR="00F425AA">
        <w:t>t</w:t>
      </w:r>
      <w:r>
        <w:t>he ACCC for merger assessments, including tim</w:t>
      </w:r>
      <w:r w:rsidR="00337283">
        <w:t>e</w:t>
      </w:r>
      <w:r w:rsidR="000A2EB4">
        <w:t>lines</w:t>
      </w:r>
      <w:r w:rsidR="00E610F0">
        <w:t>s</w:t>
      </w:r>
      <w:r>
        <w:t xml:space="preserve">, guidance and reasons for </w:t>
      </w:r>
      <w:r w:rsidR="0030565A">
        <w:t>determinations</w:t>
      </w:r>
      <w:r>
        <w:t>.</w:t>
      </w:r>
      <w:r w:rsidR="006473A3">
        <w:t xml:space="preserve"> </w:t>
      </w:r>
    </w:p>
    <w:p w14:paraId="260125CC" w14:textId="61C0A79B" w:rsidR="00CB01A5" w:rsidRDefault="00F55B61" w:rsidP="00CB01A5">
      <w:r>
        <w:t>The</w:t>
      </w:r>
      <w:r w:rsidR="00CB01A5">
        <w:t xml:space="preserve"> </w:t>
      </w:r>
      <w:r w:rsidR="00B64AF9">
        <w:t>G</w:t>
      </w:r>
      <w:r w:rsidR="00CB01A5">
        <w:t>overnment will not be proceeding</w:t>
      </w:r>
      <w:r w:rsidR="00B67215">
        <w:t xml:space="preserve"> </w:t>
      </w:r>
      <w:r w:rsidR="00CB01A5">
        <w:t xml:space="preserve">with the ACCC’s proposal that merger parties need to satisfy </w:t>
      </w:r>
      <w:r w:rsidR="00B965EC">
        <w:t xml:space="preserve">the ACCC </w:t>
      </w:r>
      <w:r w:rsidR="00CB01A5">
        <w:t xml:space="preserve">that a merger is </w:t>
      </w:r>
      <w:r w:rsidR="00CB01A5" w:rsidRPr="00CB66C4">
        <w:rPr>
          <w:u w:val="single"/>
        </w:rPr>
        <w:t>not</w:t>
      </w:r>
      <w:r w:rsidR="00CB01A5">
        <w:t xml:space="preserve"> likely to substantially lessen competition</w:t>
      </w:r>
      <w:r w:rsidR="006906F4">
        <w:t xml:space="preserve"> before approving a merger</w:t>
      </w:r>
      <w:r w:rsidR="00CB01A5">
        <w:t xml:space="preserve">. Many stakeholders objected to the perception that this ‘reversed the onus of proof’; effectively introducing a presumptive ‘ban’ on mergers. </w:t>
      </w:r>
      <w:r w:rsidR="003234E6">
        <w:t xml:space="preserve">Treasury heard from </w:t>
      </w:r>
      <w:r w:rsidR="00BD42DC">
        <w:t xml:space="preserve">stakeholders that </w:t>
      </w:r>
      <w:r w:rsidR="0049126D">
        <w:t>th</w:t>
      </w:r>
      <w:r w:rsidR="00EC1F96">
        <w:t xml:space="preserve">is </w:t>
      </w:r>
      <w:r w:rsidR="008D1C73">
        <w:t>element of the ACCC’s proposal</w:t>
      </w:r>
      <w:r w:rsidR="00EC1F96">
        <w:t xml:space="preserve"> </w:t>
      </w:r>
      <w:r w:rsidR="00E35B12">
        <w:t>c</w:t>
      </w:r>
      <w:r w:rsidR="0049126D" w:rsidRPr="005455CF">
        <w:t>ould</w:t>
      </w:r>
      <w:r w:rsidR="0049126D">
        <w:t xml:space="preserve"> </w:t>
      </w:r>
      <w:r w:rsidR="00E439A6">
        <w:t xml:space="preserve">introduce </w:t>
      </w:r>
      <w:r w:rsidR="00E439A6" w:rsidRPr="003234E6">
        <w:t xml:space="preserve">systematic bias, </w:t>
      </w:r>
      <w:r w:rsidR="0049126D" w:rsidRPr="003234E6">
        <w:t>increas</w:t>
      </w:r>
      <w:r w:rsidR="00F91429" w:rsidRPr="003234E6">
        <w:t>ing</w:t>
      </w:r>
      <w:r w:rsidR="0049126D">
        <w:t xml:space="preserve"> the number of rejected mergers every year.</w:t>
      </w:r>
      <w:r w:rsidR="00595390">
        <w:t xml:space="preserve"> </w:t>
      </w:r>
      <w:r w:rsidR="002C3B6E" w:rsidDel="00313110">
        <w:t xml:space="preserve">Some stakeholders </w:t>
      </w:r>
      <w:r w:rsidR="002D30BA" w:rsidDel="00313110">
        <w:t xml:space="preserve">also raised </w:t>
      </w:r>
      <w:r w:rsidR="002D30BA">
        <w:t xml:space="preserve">concern that </w:t>
      </w:r>
      <w:r w:rsidR="00F11875">
        <w:t>‘</w:t>
      </w:r>
      <w:r w:rsidR="002B36F7">
        <w:t>reversing the onus</w:t>
      </w:r>
      <w:r w:rsidR="00F11875">
        <w:t>’</w:t>
      </w:r>
      <w:r w:rsidR="002B36F7">
        <w:t xml:space="preserve"> </w:t>
      </w:r>
      <w:r w:rsidR="00787D49">
        <w:t xml:space="preserve">may </w:t>
      </w:r>
      <w:r w:rsidR="00E35B12">
        <w:t xml:space="preserve">undermine </w:t>
      </w:r>
      <w:r w:rsidR="00193A7C">
        <w:t xml:space="preserve">the </w:t>
      </w:r>
      <w:r w:rsidR="00E35B12">
        <w:t xml:space="preserve">use of </w:t>
      </w:r>
      <w:r w:rsidR="00B518A7">
        <w:t xml:space="preserve">the </w:t>
      </w:r>
      <w:r w:rsidR="00E35B12">
        <w:t xml:space="preserve">detailed </w:t>
      </w:r>
      <w:r w:rsidR="00193A7C">
        <w:t xml:space="preserve">legal and economic analysis required </w:t>
      </w:r>
      <w:r w:rsidR="00B67215">
        <w:t xml:space="preserve">to </w:t>
      </w:r>
      <w:r w:rsidR="00E35B12">
        <w:t xml:space="preserve">assess </w:t>
      </w:r>
      <w:r w:rsidR="00130E73">
        <w:t xml:space="preserve">the inherent </w:t>
      </w:r>
      <w:r w:rsidR="00E35B12">
        <w:t xml:space="preserve">risks </w:t>
      </w:r>
      <w:r w:rsidR="00387451">
        <w:t xml:space="preserve">and </w:t>
      </w:r>
      <w:r w:rsidR="00130E73">
        <w:t xml:space="preserve">uncertainty </w:t>
      </w:r>
      <w:r w:rsidR="005511DC">
        <w:t>associated with a</w:t>
      </w:r>
      <w:r w:rsidR="00BE08B8">
        <w:t xml:space="preserve"> merger</w:t>
      </w:r>
      <w:r w:rsidR="005511DC">
        <w:t xml:space="preserve">. </w:t>
      </w:r>
      <w:r w:rsidR="003A4070">
        <w:t>T</w:t>
      </w:r>
      <w:r w:rsidR="00373D78">
        <w:t xml:space="preserve">he Government considers that </w:t>
      </w:r>
      <w:r w:rsidR="00D03D6E">
        <w:t>with</w:t>
      </w:r>
      <w:r w:rsidR="0003501E">
        <w:t xml:space="preserve"> a</w:t>
      </w:r>
      <w:r w:rsidR="000A3321">
        <w:t xml:space="preserve"> </w:t>
      </w:r>
      <w:r w:rsidR="00373D78">
        <w:t xml:space="preserve">stronger, </w:t>
      </w:r>
      <w:r w:rsidR="00D001B9">
        <w:t>better</w:t>
      </w:r>
      <w:r w:rsidR="000A3321">
        <w:t>-equipped ACCC</w:t>
      </w:r>
      <w:r w:rsidR="0003501E">
        <w:t xml:space="preserve"> under the new system, there </w:t>
      </w:r>
      <w:r w:rsidR="009472F1">
        <w:t>are insufficient</w:t>
      </w:r>
      <w:r w:rsidR="000A3321">
        <w:t xml:space="preserve"> </w:t>
      </w:r>
      <w:r w:rsidR="00E44AFD">
        <w:t>grounds</w:t>
      </w:r>
      <w:r w:rsidR="000A3321">
        <w:t xml:space="preserve"> for </w:t>
      </w:r>
      <w:r w:rsidR="009075B8">
        <w:t>adopting th</w:t>
      </w:r>
      <w:r w:rsidR="007B1339">
        <w:t>e ACCC’s proposed</w:t>
      </w:r>
      <w:r w:rsidR="00A54BA5">
        <w:t xml:space="preserve"> approach</w:t>
      </w:r>
      <w:r w:rsidR="00562F37">
        <w:t xml:space="preserve"> in</w:t>
      </w:r>
      <w:r w:rsidR="00486AFA">
        <w:t xml:space="preserve"> </w:t>
      </w:r>
      <w:r w:rsidR="00562F37">
        <w:t xml:space="preserve">merger </w:t>
      </w:r>
      <w:r w:rsidR="004416C2">
        <w:t>assessment</w:t>
      </w:r>
      <w:r w:rsidR="009075B8">
        <w:t>.</w:t>
      </w:r>
      <w:r w:rsidR="00562F37">
        <w:t xml:space="preserve"> </w:t>
      </w:r>
      <w:r w:rsidR="007B61A7">
        <w:t>However,</w:t>
      </w:r>
      <w:r w:rsidR="00562F37">
        <w:t xml:space="preserve"> </w:t>
      </w:r>
      <w:r w:rsidR="004416C2">
        <w:t>the</w:t>
      </w:r>
      <w:r w:rsidR="00562F37">
        <w:t xml:space="preserve"> </w:t>
      </w:r>
      <w:r w:rsidR="00DE6002">
        <w:t>‘</w:t>
      </w:r>
      <w:r w:rsidR="00D942C1">
        <w:t>satisfaction</w:t>
      </w:r>
      <w:r w:rsidR="00F34BC3">
        <w:t xml:space="preserve">’ </w:t>
      </w:r>
      <w:r w:rsidR="00562F37">
        <w:t xml:space="preserve">test </w:t>
      </w:r>
      <w:r w:rsidR="004416C2">
        <w:t xml:space="preserve">will be maintained </w:t>
      </w:r>
      <w:r w:rsidR="00562F37">
        <w:t xml:space="preserve">for </w:t>
      </w:r>
      <w:r w:rsidR="00B93795">
        <w:t xml:space="preserve">the </w:t>
      </w:r>
      <w:r w:rsidR="006A1626">
        <w:t xml:space="preserve">ACCC’s </w:t>
      </w:r>
      <w:r w:rsidR="00B93795">
        <w:t xml:space="preserve">assessment of </w:t>
      </w:r>
      <w:r w:rsidR="004416C2">
        <w:t xml:space="preserve">whether </w:t>
      </w:r>
      <w:r w:rsidR="009E7C04">
        <w:t>a</w:t>
      </w:r>
      <w:r w:rsidR="00542329">
        <w:t xml:space="preserve"> merger</w:t>
      </w:r>
      <w:r w:rsidR="009E7C04">
        <w:t xml:space="preserve"> should be allowed because</w:t>
      </w:r>
      <w:r w:rsidR="00542329">
        <w:t xml:space="preserve"> it brings </w:t>
      </w:r>
      <w:r w:rsidR="00B93795">
        <w:t xml:space="preserve">substantial </w:t>
      </w:r>
      <w:r w:rsidR="009E7C04">
        <w:t xml:space="preserve">offsetting </w:t>
      </w:r>
      <w:r w:rsidR="00B93795">
        <w:t xml:space="preserve">public </w:t>
      </w:r>
      <w:r w:rsidR="007B61A7">
        <w:t>benefits.</w:t>
      </w:r>
      <w:r w:rsidR="009075B8">
        <w:t xml:space="preserve"> </w:t>
      </w:r>
    </w:p>
    <w:p w14:paraId="31D478B5" w14:textId="2FBDC5A9" w:rsidR="00CB01A5" w:rsidRDefault="00CB01A5" w:rsidP="00CB01A5">
      <w:r>
        <w:t xml:space="preserve">The Government will </w:t>
      </w:r>
      <w:r w:rsidR="003110E8">
        <w:t xml:space="preserve">review the new system three years after commencement, informed by </w:t>
      </w:r>
      <w:r>
        <w:t>evidence around the impact of mergers on the economy and the performance of the ACCC.</w:t>
      </w:r>
    </w:p>
    <w:p w14:paraId="3CCF0587" w14:textId="1E54B22C" w:rsidR="00247EBB" w:rsidRDefault="00CB01A5" w:rsidP="00631B02">
      <w:r>
        <w:t>The remainder of this paper details the new system</w:t>
      </w:r>
      <w:r w:rsidR="00A84013">
        <w:t xml:space="preserve"> (Attachment A visualises the new system)</w:t>
      </w:r>
      <w:r>
        <w:t xml:space="preserve">. </w:t>
      </w:r>
      <w:r w:rsidR="00E73588">
        <w:t>Attachment B</w:t>
      </w:r>
      <w:r>
        <w:t xml:space="preserve"> </w:t>
      </w:r>
      <w:r w:rsidR="00E3737A">
        <w:t>outlines</w:t>
      </w:r>
      <w:r>
        <w:t xml:space="preserve"> </w:t>
      </w:r>
      <w:r w:rsidR="00244AFC">
        <w:t xml:space="preserve">stakeholder </w:t>
      </w:r>
      <w:r w:rsidR="00026187">
        <w:t xml:space="preserve">feedback and the </w:t>
      </w:r>
      <w:r>
        <w:t xml:space="preserve">Government’s response to the options presented in the </w:t>
      </w:r>
      <w:r w:rsidR="00E535E8">
        <w:t>m</w:t>
      </w:r>
      <w:r>
        <w:t xml:space="preserve">erger </w:t>
      </w:r>
      <w:r w:rsidR="00E535E8">
        <w:t>r</w:t>
      </w:r>
      <w:r>
        <w:t>eform consultation paper.</w:t>
      </w:r>
      <w:r w:rsidR="00247EBB">
        <w:br w:type="page"/>
      </w:r>
    </w:p>
    <w:p w14:paraId="32C1C061" w14:textId="2DFEEE7D" w:rsidR="00457641" w:rsidRDefault="74B127C7" w:rsidP="00457641">
      <w:pPr>
        <w:pStyle w:val="Heading1"/>
      </w:pPr>
      <w:bookmarkStart w:id="10" w:name="_Toc163550082"/>
      <w:r>
        <w:lastRenderedPageBreak/>
        <w:t>A mandatory and suspensory administrative merger control system</w:t>
      </w:r>
      <w:bookmarkEnd w:id="10"/>
    </w:p>
    <w:p w14:paraId="4DFE0ED9" w14:textId="5A722196" w:rsidR="00457641" w:rsidRDefault="00457641" w:rsidP="00457641">
      <w:r>
        <w:t>From 1 January 2026, the</w:t>
      </w:r>
      <w:r w:rsidR="00F92154">
        <w:t xml:space="preserve"> Australian</w:t>
      </w:r>
      <w:r>
        <w:t xml:space="preserve"> Government will simplify </w:t>
      </w:r>
      <w:r w:rsidR="00F05EAA">
        <w:t xml:space="preserve">and strengthen </w:t>
      </w:r>
      <w:r>
        <w:t>the current approach to merger control in Australia</w:t>
      </w:r>
      <w:r w:rsidR="005A76D7">
        <w:t>.</w:t>
      </w:r>
      <w:r>
        <w:t xml:space="preserve"> </w:t>
      </w:r>
      <w:r w:rsidR="0035184E">
        <w:t>A</w:t>
      </w:r>
      <w:r>
        <w:t xml:space="preserve"> single mandatory and suspensory administrative merger control system</w:t>
      </w:r>
      <w:r w:rsidDel="00F95921">
        <w:t xml:space="preserve"> </w:t>
      </w:r>
      <w:r w:rsidR="00F95921">
        <w:t xml:space="preserve">will replace </w:t>
      </w:r>
      <w:r>
        <w:t>section</w:t>
      </w:r>
      <w:r w:rsidR="00A01041">
        <w:t>s</w:t>
      </w:r>
      <w:r>
        <w:t xml:space="preserve"> 50 and 50A of the </w:t>
      </w:r>
      <w:r w:rsidRPr="269749DB">
        <w:rPr>
          <w:i/>
          <w:iCs/>
        </w:rPr>
        <w:t xml:space="preserve">Competition and Consumer Act </w:t>
      </w:r>
      <w:r w:rsidR="00625DDC">
        <w:rPr>
          <w:i/>
          <w:iCs/>
        </w:rPr>
        <w:t>2010</w:t>
      </w:r>
      <w:r w:rsidRPr="269749DB">
        <w:rPr>
          <w:i/>
          <w:iCs/>
        </w:rPr>
        <w:t xml:space="preserve"> </w:t>
      </w:r>
      <w:r>
        <w:t>(CCA) and the current merger authorisation process in section</w:t>
      </w:r>
      <w:r w:rsidR="00F95921">
        <w:t>s</w:t>
      </w:r>
      <w:r>
        <w:t xml:space="preserve"> 88 and 90(7) of the CCA.</w:t>
      </w:r>
    </w:p>
    <w:p w14:paraId="21EDA589" w14:textId="288F1AAE" w:rsidR="00476700" w:rsidRDefault="00457641" w:rsidP="00267017">
      <w:r>
        <w:t>A single</w:t>
      </w:r>
      <w:r w:rsidR="00EB0E30">
        <w:t>,</w:t>
      </w:r>
      <w:r>
        <w:t xml:space="preserve"> </w:t>
      </w:r>
      <w:r w:rsidR="00EB0E30">
        <w:t xml:space="preserve">streamlined </w:t>
      </w:r>
      <w:r>
        <w:t>merger control system will enhance efficiency, predictability and transparency for businesses, stakeholders and the community</w:t>
      </w:r>
      <w:r w:rsidR="00044C80">
        <w:t>,</w:t>
      </w:r>
      <w:r>
        <w:t xml:space="preserve"> and removes the </w:t>
      </w:r>
      <w:r w:rsidR="00387F18">
        <w:t xml:space="preserve">scope </w:t>
      </w:r>
      <w:r>
        <w:t xml:space="preserve">for strategic behaviour by merger parties. It will ensure the ACCC is significantly better equipped to detect, review and act against those mergers that substantially lessen competition. </w:t>
      </w:r>
    </w:p>
    <w:p w14:paraId="6A2FA1B0" w14:textId="39ACB6B2" w:rsidR="00E92ACC" w:rsidRPr="007B0F12" w:rsidRDefault="00E92ACC" w:rsidP="00267017">
      <w:pPr>
        <w:rPr>
          <w:b/>
          <w:bCs/>
          <w:sz w:val="28"/>
          <w:szCs w:val="28"/>
        </w:rPr>
      </w:pPr>
      <w:r w:rsidRPr="007B0F12">
        <w:rPr>
          <w:b/>
          <w:bCs/>
          <w:sz w:val="28"/>
          <w:szCs w:val="28"/>
        </w:rPr>
        <w:t>Australia’s merger control system</w:t>
      </w:r>
    </w:p>
    <w:tbl>
      <w:tblPr>
        <w:tblStyle w:val="TableGridLight"/>
        <w:tblW w:w="97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1"/>
        <w:gridCol w:w="3261"/>
      </w:tblGrid>
      <w:tr w:rsidR="00894AEC" w14:paraId="01D743E8" w14:textId="77777777" w:rsidTr="00245FCC">
        <w:trPr>
          <w:trHeight w:val="1461"/>
          <w:jc w:val="center"/>
        </w:trPr>
        <w:tc>
          <w:tcPr>
            <w:tcW w:w="3261" w:type="dxa"/>
          </w:tcPr>
          <w:p w14:paraId="265CEE90" w14:textId="304DF495" w:rsidR="000C2DFC" w:rsidRPr="00AF02F6" w:rsidRDefault="00355B11" w:rsidP="003D512E">
            <w:pPr>
              <w:spacing w:before="0"/>
              <w:jc w:val="center"/>
              <w:rPr>
                <w:rFonts w:asciiTheme="minorHAnsi" w:hAnsiTheme="minorHAnsi" w:cstheme="minorBidi"/>
                <w:b/>
              </w:rPr>
            </w:pPr>
            <w:r w:rsidRPr="001931AD">
              <w:rPr>
                <w:rFonts w:asciiTheme="minorHAnsi" w:hAnsiTheme="minorHAnsi" w:cstheme="minorHAnsi"/>
                <w:b/>
                <w:bCs/>
                <w:noProof/>
              </w:rPr>
              <mc:AlternateContent>
                <mc:Choice Requires="wpg">
                  <w:drawing>
                    <wp:anchor distT="0" distB="0" distL="114300" distR="114300" simplePos="0" relativeHeight="251659268" behindDoc="0" locked="0" layoutInCell="1" allowOverlap="1" wp14:anchorId="3F7C1F00" wp14:editId="622FA9E8">
                      <wp:simplePos x="0" y="0"/>
                      <wp:positionH relativeFrom="column">
                        <wp:posOffset>561975</wp:posOffset>
                      </wp:positionH>
                      <wp:positionV relativeFrom="paragraph">
                        <wp:posOffset>127635</wp:posOffset>
                      </wp:positionV>
                      <wp:extent cx="800100" cy="768985"/>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100" cy="768985"/>
                                <a:chOff x="0" y="0"/>
                                <a:chExt cx="825500" cy="793750"/>
                              </a:xfrm>
                              <a:solidFill>
                                <a:schemeClr val="tx1"/>
                              </a:solidFill>
                            </wpg:grpSpPr>
                            <wps:wsp>
                              <wps:cNvPr id="14" name="Freeform 12"/>
                              <wps:cNvSpPr>
                                <a:spLocks/>
                              </wps:cNvSpPr>
                              <wps:spPr bwMode="auto">
                                <a:xfrm>
                                  <a:off x="339725" y="442912"/>
                                  <a:ext cx="36513" cy="171450"/>
                                </a:xfrm>
                                <a:custGeom>
                                  <a:avLst/>
                                  <a:gdLst>
                                    <a:gd name="T0" fmla="*/ 4 w 18"/>
                                    <a:gd name="T1" fmla="*/ 84 h 84"/>
                                    <a:gd name="T2" fmla="*/ 4 w 18"/>
                                    <a:gd name="T3" fmla="*/ 84 h 84"/>
                                    <a:gd name="T4" fmla="*/ 0 w 18"/>
                                    <a:gd name="T5" fmla="*/ 80 h 84"/>
                                    <a:gd name="T6" fmla="*/ 3 w 18"/>
                                    <a:gd name="T7" fmla="*/ 61 h 84"/>
                                    <a:gd name="T8" fmla="*/ 10 w 18"/>
                                    <a:gd name="T9" fmla="*/ 3 h 84"/>
                                    <a:gd name="T10" fmla="*/ 14 w 18"/>
                                    <a:gd name="T11" fmla="*/ 0 h 84"/>
                                    <a:gd name="T12" fmla="*/ 17 w 18"/>
                                    <a:gd name="T13" fmla="*/ 4 h 84"/>
                                    <a:gd name="T14" fmla="*/ 11 w 18"/>
                                    <a:gd name="T15" fmla="*/ 62 h 84"/>
                                    <a:gd name="T16" fmla="*/ 8 w 18"/>
                                    <a:gd name="T17" fmla="*/ 81 h 84"/>
                                    <a:gd name="T18" fmla="*/ 4 w 18"/>
                                    <a:gd name="T1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84">
                                      <a:moveTo>
                                        <a:pt x="4" y="84"/>
                                      </a:moveTo>
                                      <a:cubicBezTo>
                                        <a:pt x="4" y="84"/>
                                        <a:pt x="4" y="84"/>
                                        <a:pt x="4" y="84"/>
                                      </a:cubicBezTo>
                                      <a:cubicBezTo>
                                        <a:pt x="1" y="84"/>
                                        <a:pt x="0" y="82"/>
                                        <a:pt x="0" y="80"/>
                                      </a:cubicBezTo>
                                      <a:cubicBezTo>
                                        <a:pt x="3" y="61"/>
                                        <a:pt x="3" y="61"/>
                                        <a:pt x="3" y="61"/>
                                      </a:cubicBezTo>
                                      <a:cubicBezTo>
                                        <a:pt x="10" y="3"/>
                                        <a:pt x="10" y="3"/>
                                        <a:pt x="10" y="3"/>
                                      </a:cubicBezTo>
                                      <a:cubicBezTo>
                                        <a:pt x="10" y="1"/>
                                        <a:pt x="12" y="0"/>
                                        <a:pt x="14" y="0"/>
                                      </a:cubicBezTo>
                                      <a:cubicBezTo>
                                        <a:pt x="16" y="0"/>
                                        <a:pt x="18" y="2"/>
                                        <a:pt x="17" y="4"/>
                                      </a:cubicBezTo>
                                      <a:cubicBezTo>
                                        <a:pt x="11" y="62"/>
                                        <a:pt x="11" y="62"/>
                                        <a:pt x="11" y="62"/>
                                      </a:cubicBezTo>
                                      <a:cubicBezTo>
                                        <a:pt x="8" y="81"/>
                                        <a:pt x="8" y="81"/>
                                        <a:pt x="8" y="81"/>
                                      </a:cubicBezTo>
                                      <a:cubicBezTo>
                                        <a:pt x="8" y="83"/>
                                        <a:pt x="6" y="84"/>
                                        <a:pt x="4" y="84"/>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17" name="Freeform 13"/>
                              <wps:cNvSpPr>
                                <a:spLocks noEditPoints="1"/>
                              </wps:cNvSpPr>
                              <wps:spPr bwMode="auto">
                                <a:xfrm>
                                  <a:off x="0" y="381000"/>
                                  <a:ext cx="431800" cy="315913"/>
                                </a:xfrm>
                                <a:custGeom>
                                  <a:avLst/>
                                  <a:gdLst>
                                    <a:gd name="T0" fmla="*/ 68 w 210"/>
                                    <a:gd name="T1" fmla="*/ 146 h 154"/>
                                    <a:gd name="T2" fmla="*/ 65 w 210"/>
                                    <a:gd name="T3" fmla="*/ 142 h 154"/>
                                    <a:gd name="T4" fmla="*/ 72 w 210"/>
                                    <a:gd name="T5" fmla="*/ 131 h 154"/>
                                    <a:gd name="T6" fmla="*/ 201 w 210"/>
                                    <a:gd name="T7" fmla="*/ 110 h 154"/>
                                    <a:gd name="T8" fmla="*/ 204 w 210"/>
                                    <a:gd name="T9" fmla="*/ 106 h 154"/>
                                    <a:gd name="T10" fmla="*/ 204 w 210"/>
                                    <a:gd name="T11" fmla="*/ 33 h 154"/>
                                    <a:gd name="T12" fmla="*/ 203 w 210"/>
                                    <a:gd name="T13" fmla="*/ 30 h 154"/>
                                    <a:gd name="T14" fmla="*/ 200 w 210"/>
                                    <a:gd name="T15" fmla="*/ 29 h 154"/>
                                    <a:gd name="T16" fmla="*/ 43 w 210"/>
                                    <a:gd name="T17" fmla="*/ 29 h 154"/>
                                    <a:gd name="T18" fmla="*/ 34 w 210"/>
                                    <a:gd name="T19" fmla="*/ 3 h 154"/>
                                    <a:gd name="T20" fmla="*/ 31 w 210"/>
                                    <a:gd name="T21" fmla="*/ 0 h 154"/>
                                    <a:gd name="T22" fmla="*/ 4 w 210"/>
                                    <a:gd name="T23" fmla="*/ 0 h 154"/>
                                    <a:gd name="T24" fmla="*/ 0 w 210"/>
                                    <a:gd name="T25" fmla="*/ 4 h 154"/>
                                    <a:gd name="T26" fmla="*/ 4 w 210"/>
                                    <a:gd name="T27" fmla="*/ 8 h 154"/>
                                    <a:gd name="T28" fmla="*/ 28 w 210"/>
                                    <a:gd name="T29" fmla="*/ 8 h 154"/>
                                    <a:gd name="T30" fmla="*/ 59 w 210"/>
                                    <a:gd name="T31" fmla="*/ 109 h 154"/>
                                    <a:gd name="T32" fmla="*/ 63 w 210"/>
                                    <a:gd name="T33" fmla="*/ 112 h 154"/>
                                    <a:gd name="T34" fmla="*/ 64 w 210"/>
                                    <a:gd name="T35" fmla="*/ 112 h 154"/>
                                    <a:gd name="T36" fmla="*/ 67 w 210"/>
                                    <a:gd name="T37" fmla="*/ 107 h 154"/>
                                    <a:gd name="T38" fmla="*/ 58 w 210"/>
                                    <a:gd name="T39" fmla="*/ 77 h 154"/>
                                    <a:gd name="T40" fmla="*/ 89 w 210"/>
                                    <a:gd name="T41" fmla="*/ 77 h 154"/>
                                    <a:gd name="T42" fmla="*/ 95 w 210"/>
                                    <a:gd name="T43" fmla="*/ 119 h 154"/>
                                    <a:gd name="T44" fmla="*/ 71 w 210"/>
                                    <a:gd name="T45" fmla="*/ 123 h 154"/>
                                    <a:gd name="T46" fmla="*/ 57 w 210"/>
                                    <a:gd name="T47" fmla="*/ 143 h 154"/>
                                    <a:gd name="T48" fmla="*/ 68 w 210"/>
                                    <a:gd name="T49" fmla="*/ 154 h 154"/>
                                    <a:gd name="T50" fmla="*/ 210 w 210"/>
                                    <a:gd name="T51" fmla="*/ 154 h 154"/>
                                    <a:gd name="T52" fmla="*/ 210 w 210"/>
                                    <a:gd name="T53" fmla="*/ 146 h 154"/>
                                    <a:gd name="T54" fmla="*/ 68 w 210"/>
                                    <a:gd name="T55" fmla="*/ 146 h 154"/>
                                    <a:gd name="T56" fmla="*/ 137 w 210"/>
                                    <a:gd name="T57" fmla="*/ 112 h 154"/>
                                    <a:gd name="T58" fmla="*/ 137 w 210"/>
                                    <a:gd name="T59" fmla="*/ 77 h 154"/>
                                    <a:gd name="T60" fmla="*/ 196 w 210"/>
                                    <a:gd name="T61" fmla="*/ 77 h 154"/>
                                    <a:gd name="T62" fmla="*/ 196 w 210"/>
                                    <a:gd name="T63" fmla="*/ 102 h 154"/>
                                    <a:gd name="T64" fmla="*/ 137 w 210"/>
                                    <a:gd name="T65" fmla="*/ 112 h 154"/>
                                    <a:gd name="T66" fmla="*/ 196 w 210"/>
                                    <a:gd name="T67" fmla="*/ 69 h 154"/>
                                    <a:gd name="T68" fmla="*/ 137 w 210"/>
                                    <a:gd name="T69" fmla="*/ 69 h 154"/>
                                    <a:gd name="T70" fmla="*/ 137 w 210"/>
                                    <a:gd name="T71" fmla="*/ 37 h 154"/>
                                    <a:gd name="T72" fmla="*/ 196 w 210"/>
                                    <a:gd name="T73" fmla="*/ 37 h 154"/>
                                    <a:gd name="T74" fmla="*/ 196 w 210"/>
                                    <a:gd name="T75" fmla="*/ 69 h 154"/>
                                    <a:gd name="T76" fmla="*/ 129 w 210"/>
                                    <a:gd name="T77" fmla="*/ 69 h 154"/>
                                    <a:gd name="T78" fmla="*/ 96 w 210"/>
                                    <a:gd name="T79" fmla="*/ 69 h 154"/>
                                    <a:gd name="T80" fmla="*/ 91 w 210"/>
                                    <a:gd name="T81" fmla="*/ 37 h 154"/>
                                    <a:gd name="T82" fmla="*/ 129 w 210"/>
                                    <a:gd name="T83" fmla="*/ 37 h 154"/>
                                    <a:gd name="T84" fmla="*/ 129 w 210"/>
                                    <a:gd name="T85" fmla="*/ 69 h 154"/>
                                    <a:gd name="T86" fmla="*/ 55 w 210"/>
                                    <a:gd name="T87" fmla="*/ 69 h 154"/>
                                    <a:gd name="T88" fmla="*/ 45 w 210"/>
                                    <a:gd name="T89" fmla="*/ 37 h 154"/>
                                    <a:gd name="T90" fmla="*/ 83 w 210"/>
                                    <a:gd name="T91" fmla="*/ 37 h 154"/>
                                    <a:gd name="T92" fmla="*/ 88 w 210"/>
                                    <a:gd name="T93" fmla="*/ 69 h 154"/>
                                    <a:gd name="T94" fmla="*/ 55 w 210"/>
                                    <a:gd name="T95" fmla="*/ 69 h 154"/>
                                    <a:gd name="T96" fmla="*/ 97 w 210"/>
                                    <a:gd name="T97" fmla="*/ 77 h 154"/>
                                    <a:gd name="T98" fmla="*/ 129 w 210"/>
                                    <a:gd name="T99" fmla="*/ 77 h 154"/>
                                    <a:gd name="T100" fmla="*/ 129 w 210"/>
                                    <a:gd name="T101" fmla="*/ 113 h 154"/>
                                    <a:gd name="T102" fmla="*/ 103 w 210"/>
                                    <a:gd name="T103" fmla="*/ 118 h 154"/>
                                    <a:gd name="T104" fmla="*/ 97 w 210"/>
                                    <a:gd name="T105" fmla="*/ 7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154">
                                      <a:moveTo>
                                        <a:pt x="68" y="146"/>
                                      </a:moveTo>
                                      <a:cubicBezTo>
                                        <a:pt x="66" y="146"/>
                                        <a:pt x="65" y="144"/>
                                        <a:pt x="65" y="142"/>
                                      </a:cubicBezTo>
                                      <a:cubicBezTo>
                                        <a:pt x="65" y="139"/>
                                        <a:pt x="66" y="132"/>
                                        <a:pt x="72" y="131"/>
                                      </a:cubicBezTo>
                                      <a:cubicBezTo>
                                        <a:pt x="201" y="110"/>
                                        <a:pt x="201" y="110"/>
                                        <a:pt x="201" y="110"/>
                                      </a:cubicBezTo>
                                      <a:cubicBezTo>
                                        <a:pt x="203" y="109"/>
                                        <a:pt x="204" y="108"/>
                                        <a:pt x="204" y="106"/>
                                      </a:cubicBezTo>
                                      <a:cubicBezTo>
                                        <a:pt x="204" y="33"/>
                                        <a:pt x="204" y="33"/>
                                        <a:pt x="204" y="33"/>
                                      </a:cubicBezTo>
                                      <a:cubicBezTo>
                                        <a:pt x="204" y="32"/>
                                        <a:pt x="204" y="31"/>
                                        <a:pt x="203" y="30"/>
                                      </a:cubicBezTo>
                                      <a:cubicBezTo>
                                        <a:pt x="202" y="29"/>
                                        <a:pt x="201" y="29"/>
                                        <a:pt x="200" y="29"/>
                                      </a:cubicBezTo>
                                      <a:cubicBezTo>
                                        <a:pt x="43" y="29"/>
                                        <a:pt x="43" y="29"/>
                                        <a:pt x="43" y="29"/>
                                      </a:cubicBezTo>
                                      <a:cubicBezTo>
                                        <a:pt x="34" y="3"/>
                                        <a:pt x="34" y="3"/>
                                        <a:pt x="34" y="3"/>
                                      </a:cubicBezTo>
                                      <a:cubicBezTo>
                                        <a:pt x="34" y="1"/>
                                        <a:pt x="32" y="0"/>
                                        <a:pt x="31" y="0"/>
                                      </a:cubicBezTo>
                                      <a:cubicBezTo>
                                        <a:pt x="4" y="0"/>
                                        <a:pt x="4" y="0"/>
                                        <a:pt x="4" y="0"/>
                                      </a:cubicBezTo>
                                      <a:cubicBezTo>
                                        <a:pt x="2" y="0"/>
                                        <a:pt x="0" y="1"/>
                                        <a:pt x="0" y="4"/>
                                      </a:cubicBezTo>
                                      <a:cubicBezTo>
                                        <a:pt x="0" y="6"/>
                                        <a:pt x="2" y="8"/>
                                        <a:pt x="4" y="8"/>
                                      </a:cubicBezTo>
                                      <a:cubicBezTo>
                                        <a:pt x="28" y="8"/>
                                        <a:pt x="28" y="8"/>
                                        <a:pt x="28" y="8"/>
                                      </a:cubicBezTo>
                                      <a:cubicBezTo>
                                        <a:pt x="59" y="109"/>
                                        <a:pt x="59" y="109"/>
                                        <a:pt x="59" y="109"/>
                                      </a:cubicBezTo>
                                      <a:cubicBezTo>
                                        <a:pt x="60" y="111"/>
                                        <a:pt x="61" y="112"/>
                                        <a:pt x="63" y="112"/>
                                      </a:cubicBezTo>
                                      <a:cubicBezTo>
                                        <a:pt x="64" y="112"/>
                                        <a:pt x="64" y="112"/>
                                        <a:pt x="64" y="112"/>
                                      </a:cubicBezTo>
                                      <a:cubicBezTo>
                                        <a:pt x="66" y="111"/>
                                        <a:pt x="68" y="109"/>
                                        <a:pt x="67" y="107"/>
                                      </a:cubicBezTo>
                                      <a:cubicBezTo>
                                        <a:pt x="58" y="77"/>
                                        <a:pt x="58" y="77"/>
                                        <a:pt x="58" y="77"/>
                                      </a:cubicBezTo>
                                      <a:cubicBezTo>
                                        <a:pt x="89" y="77"/>
                                        <a:pt x="89" y="77"/>
                                        <a:pt x="89" y="77"/>
                                      </a:cubicBezTo>
                                      <a:cubicBezTo>
                                        <a:pt x="95" y="119"/>
                                        <a:pt x="95" y="119"/>
                                        <a:pt x="95" y="119"/>
                                      </a:cubicBezTo>
                                      <a:cubicBezTo>
                                        <a:pt x="71" y="123"/>
                                        <a:pt x="71" y="123"/>
                                        <a:pt x="71" y="123"/>
                                      </a:cubicBezTo>
                                      <a:cubicBezTo>
                                        <a:pt x="61" y="125"/>
                                        <a:pt x="56" y="135"/>
                                        <a:pt x="57" y="143"/>
                                      </a:cubicBezTo>
                                      <a:cubicBezTo>
                                        <a:pt x="58" y="150"/>
                                        <a:pt x="62" y="154"/>
                                        <a:pt x="68" y="154"/>
                                      </a:cubicBezTo>
                                      <a:cubicBezTo>
                                        <a:pt x="210" y="154"/>
                                        <a:pt x="210" y="154"/>
                                        <a:pt x="210" y="154"/>
                                      </a:cubicBezTo>
                                      <a:cubicBezTo>
                                        <a:pt x="210" y="146"/>
                                        <a:pt x="210" y="146"/>
                                        <a:pt x="210" y="146"/>
                                      </a:cubicBezTo>
                                      <a:lnTo>
                                        <a:pt x="68" y="146"/>
                                      </a:lnTo>
                                      <a:close/>
                                      <a:moveTo>
                                        <a:pt x="137" y="112"/>
                                      </a:moveTo>
                                      <a:cubicBezTo>
                                        <a:pt x="137" y="77"/>
                                        <a:pt x="137" y="77"/>
                                        <a:pt x="137" y="77"/>
                                      </a:cubicBezTo>
                                      <a:cubicBezTo>
                                        <a:pt x="196" y="77"/>
                                        <a:pt x="196" y="77"/>
                                        <a:pt x="196" y="77"/>
                                      </a:cubicBezTo>
                                      <a:cubicBezTo>
                                        <a:pt x="196" y="102"/>
                                        <a:pt x="196" y="102"/>
                                        <a:pt x="196" y="102"/>
                                      </a:cubicBezTo>
                                      <a:lnTo>
                                        <a:pt x="137" y="112"/>
                                      </a:lnTo>
                                      <a:close/>
                                      <a:moveTo>
                                        <a:pt x="196" y="69"/>
                                      </a:moveTo>
                                      <a:cubicBezTo>
                                        <a:pt x="137" y="69"/>
                                        <a:pt x="137" y="69"/>
                                        <a:pt x="137" y="69"/>
                                      </a:cubicBezTo>
                                      <a:cubicBezTo>
                                        <a:pt x="137" y="37"/>
                                        <a:pt x="137" y="37"/>
                                        <a:pt x="137" y="37"/>
                                      </a:cubicBezTo>
                                      <a:cubicBezTo>
                                        <a:pt x="196" y="37"/>
                                        <a:pt x="196" y="37"/>
                                        <a:pt x="196" y="37"/>
                                      </a:cubicBezTo>
                                      <a:lnTo>
                                        <a:pt x="196" y="69"/>
                                      </a:lnTo>
                                      <a:close/>
                                      <a:moveTo>
                                        <a:pt x="129" y="69"/>
                                      </a:moveTo>
                                      <a:cubicBezTo>
                                        <a:pt x="96" y="69"/>
                                        <a:pt x="96" y="69"/>
                                        <a:pt x="96" y="69"/>
                                      </a:cubicBezTo>
                                      <a:cubicBezTo>
                                        <a:pt x="91" y="37"/>
                                        <a:pt x="91" y="37"/>
                                        <a:pt x="91" y="37"/>
                                      </a:cubicBezTo>
                                      <a:cubicBezTo>
                                        <a:pt x="129" y="37"/>
                                        <a:pt x="129" y="37"/>
                                        <a:pt x="129" y="37"/>
                                      </a:cubicBezTo>
                                      <a:lnTo>
                                        <a:pt x="129" y="69"/>
                                      </a:lnTo>
                                      <a:close/>
                                      <a:moveTo>
                                        <a:pt x="55" y="69"/>
                                      </a:moveTo>
                                      <a:cubicBezTo>
                                        <a:pt x="45" y="37"/>
                                        <a:pt x="45" y="37"/>
                                        <a:pt x="45" y="37"/>
                                      </a:cubicBezTo>
                                      <a:cubicBezTo>
                                        <a:pt x="83" y="37"/>
                                        <a:pt x="83" y="37"/>
                                        <a:pt x="83" y="37"/>
                                      </a:cubicBezTo>
                                      <a:cubicBezTo>
                                        <a:pt x="88" y="69"/>
                                        <a:pt x="88" y="69"/>
                                        <a:pt x="88" y="69"/>
                                      </a:cubicBezTo>
                                      <a:lnTo>
                                        <a:pt x="55" y="69"/>
                                      </a:lnTo>
                                      <a:close/>
                                      <a:moveTo>
                                        <a:pt x="97" y="77"/>
                                      </a:moveTo>
                                      <a:cubicBezTo>
                                        <a:pt x="129" y="77"/>
                                        <a:pt x="129" y="77"/>
                                        <a:pt x="129" y="77"/>
                                      </a:cubicBezTo>
                                      <a:cubicBezTo>
                                        <a:pt x="129" y="113"/>
                                        <a:pt x="129" y="113"/>
                                        <a:pt x="129" y="113"/>
                                      </a:cubicBezTo>
                                      <a:cubicBezTo>
                                        <a:pt x="103" y="118"/>
                                        <a:pt x="103" y="118"/>
                                        <a:pt x="103" y="118"/>
                                      </a:cubicBezTo>
                                      <a:lnTo>
                                        <a:pt x="97" y="77"/>
                                      </a:ln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19" name="Freeform 14"/>
                              <wps:cNvSpPr>
                                <a:spLocks noEditPoints="1"/>
                              </wps:cNvSpPr>
                              <wps:spPr bwMode="auto">
                                <a:xfrm>
                                  <a:off x="133350" y="719137"/>
                                  <a:ext cx="74613" cy="74613"/>
                                </a:xfrm>
                                <a:custGeom>
                                  <a:avLst/>
                                  <a:gdLst>
                                    <a:gd name="T0" fmla="*/ 18 w 36"/>
                                    <a:gd name="T1" fmla="*/ 36 h 36"/>
                                    <a:gd name="T2" fmla="*/ 0 w 36"/>
                                    <a:gd name="T3" fmla="*/ 18 h 36"/>
                                    <a:gd name="T4" fmla="*/ 18 w 36"/>
                                    <a:gd name="T5" fmla="*/ 0 h 36"/>
                                    <a:gd name="T6" fmla="*/ 36 w 36"/>
                                    <a:gd name="T7" fmla="*/ 18 h 36"/>
                                    <a:gd name="T8" fmla="*/ 18 w 36"/>
                                    <a:gd name="T9" fmla="*/ 36 h 36"/>
                                    <a:gd name="T10" fmla="*/ 18 w 36"/>
                                    <a:gd name="T11" fmla="*/ 8 h 36"/>
                                    <a:gd name="T12" fmla="*/ 8 w 36"/>
                                    <a:gd name="T13" fmla="*/ 18 h 36"/>
                                    <a:gd name="T14" fmla="*/ 18 w 36"/>
                                    <a:gd name="T15" fmla="*/ 28 h 36"/>
                                    <a:gd name="T16" fmla="*/ 28 w 36"/>
                                    <a:gd name="T17" fmla="*/ 18 h 36"/>
                                    <a:gd name="T18" fmla="*/ 18 w 36"/>
                                    <a:gd name="T19"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cubicBezTo>
                                        <a:pt x="8" y="36"/>
                                        <a:pt x="0" y="28"/>
                                        <a:pt x="0" y="18"/>
                                      </a:cubicBezTo>
                                      <a:cubicBezTo>
                                        <a:pt x="0" y="9"/>
                                        <a:pt x="8" y="0"/>
                                        <a:pt x="18" y="0"/>
                                      </a:cubicBezTo>
                                      <a:cubicBezTo>
                                        <a:pt x="28" y="0"/>
                                        <a:pt x="36" y="9"/>
                                        <a:pt x="36" y="18"/>
                                      </a:cubicBezTo>
                                      <a:cubicBezTo>
                                        <a:pt x="36" y="28"/>
                                        <a:pt x="28" y="36"/>
                                        <a:pt x="18" y="36"/>
                                      </a:cubicBezTo>
                                      <a:close/>
                                      <a:moveTo>
                                        <a:pt x="18" y="8"/>
                                      </a:moveTo>
                                      <a:cubicBezTo>
                                        <a:pt x="12" y="8"/>
                                        <a:pt x="8" y="13"/>
                                        <a:pt x="8" y="18"/>
                                      </a:cubicBezTo>
                                      <a:cubicBezTo>
                                        <a:pt x="8" y="24"/>
                                        <a:pt x="12" y="28"/>
                                        <a:pt x="18" y="28"/>
                                      </a:cubicBezTo>
                                      <a:cubicBezTo>
                                        <a:pt x="23" y="28"/>
                                        <a:pt x="28" y="24"/>
                                        <a:pt x="28" y="18"/>
                                      </a:cubicBezTo>
                                      <a:cubicBezTo>
                                        <a:pt x="28" y="13"/>
                                        <a:pt x="23" y="8"/>
                                        <a:pt x="18" y="8"/>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22" name="Freeform 15"/>
                              <wps:cNvSpPr>
                                <a:spLocks noEditPoints="1"/>
                              </wps:cNvSpPr>
                              <wps:spPr bwMode="auto">
                                <a:xfrm>
                                  <a:off x="346075" y="719137"/>
                                  <a:ext cx="73025" cy="74613"/>
                                </a:xfrm>
                                <a:custGeom>
                                  <a:avLst/>
                                  <a:gdLst>
                                    <a:gd name="T0" fmla="*/ 18 w 36"/>
                                    <a:gd name="T1" fmla="*/ 36 h 36"/>
                                    <a:gd name="T2" fmla="*/ 0 w 36"/>
                                    <a:gd name="T3" fmla="*/ 18 h 36"/>
                                    <a:gd name="T4" fmla="*/ 18 w 36"/>
                                    <a:gd name="T5" fmla="*/ 0 h 36"/>
                                    <a:gd name="T6" fmla="*/ 36 w 36"/>
                                    <a:gd name="T7" fmla="*/ 18 h 36"/>
                                    <a:gd name="T8" fmla="*/ 18 w 36"/>
                                    <a:gd name="T9" fmla="*/ 36 h 36"/>
                                    <a:gd name="T10" fmla="*/ 18 w 36"/>
                                    <a:gd name="T11" fmla="*/ 8 h 36"/>
                                    <a:gd name="T12" fmla="*/ 8 w 36"/>
                                    <a:gd name="T13" fmla="*/ 18 h 36"/>
                                    <a:gd name="T14" fmla="*/ 18 w 36"/>
                                    <a:gd name="T15" fmla="*/ 28 h 36"/>
                                    <a:gd name="T16" fmla="*/ 28 w 36"/>
                                    <a:gd name="T17" fmla="*/ 18 h 36"/>
                                    <a:gd name="T18" fmla="*/ 18 w 36"/>
                                    <a:gd name="T19"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cubicBezTo>
                                        <a:pt x="8" y="36"/>
                                        <a:pt x="0" y="28"/>
                                        <a:pt x="0" y="18"/>
                                      </a:cubicBezTo>
                                      <a:cubicBezTo>
                                        <a:pt x="0" y="9"/>
                                        <a:pt x="8" y="0"/>
                                        <a:pt x="18" y="0"/>
                                      </a:cubicBezTo>
                                      <a:cubicBezTo>
                                        <a:pt x="28" y="0"/>
                                        <a:pt x="36" y="9"/>
                                        <a:pt x="36" y="18"/>
                                      </a:cubicBezTo>
                                      <a:cubicBezTo>
                                        <a:pt x="36" y="28"/>
                                        <a:pt x="28" y="36"/>
                                        <a:pt x="18" y="36"/>
                                      </a:cubicBezTo>
                                      <a:close/>
                                      <a:moveTo>
                                        <a:pt x="18" y="8"/>
                                      </a:moveTo>
                                      <a:cubicBezTo>
                                        <a:pt x="13" y="8"/>
                                        <a:pt x="8" y="13"/>
                                        <a:pt x="8" y="18"/>
                                      </a:cubicBezTo>
                                      <a:cubicBezTo>
                                        <a:pt x="8" y="24"/>
                                        <a:pt x="13" y="28"/>
                                        <a:pt x="18" y="28"/>
                                      </a:cubicBezTo>
                                      <a:cubicBezTo>
                                        <a:pt x="24" y="28"/>
                                        <a:pt x="28" y="24"/>
                                        <a:pt x="28" y="18"/>
                                      </a:cubicBezTo>
                                      <a:cubicBezTo>
                                        <a:pt x="28" y="13"/>
                                        <a:pt x="24" y="8"/>
                                        <a:pt x="18" y="8"/>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26" name="Freeform 16">
                                <a:extLst>
                                  <a:ext uri="{C183D7F6-B498-43B3-948B-1728B52AA6E4}">
                                    <adec:decorative xmlns:adec="http://schemas.microsoft.com/office/drawing/2017/decorative" val="1"/>
                                  </a:ext>
                                </a:extLst>
                              </wps:cNvPr>
                              <wps:cNvSpPr>
                                <a:spLocks/>
                              </wps:cNvSpPr>
                              <wps:spPr bwMode="auto">
                                <a:xfrm>
                                  <a:off x="330200" y="68262"/>
                                  <a:ext cx="325438" cy="334963"/>
                                </a:xfrm>
                                <a:custGeom>
                                  <a:avLst/>
                                  <a:gdLst>
                                    <a:gd name="T0" fmla="*/ 155 w 159"/>
                                    <a:gd name="T1" fmla="*/ 163 h 163"/>
                                    <a:gd name="T2" fmla="*/ 99 w 159"/>
                                    <a:gd name="T3" fmla="*/ 163 h 163"/>
                                    <a:gd name="T4" fmla="*/ 95 w 159"/>
                                    <a:gd name="T5" fmla="*/ 159 h 163"/>
                                    <a:gd name="T6" fmla="*/ 95 w 159"/>
                                    <a:gd name="T7" fmla="*/ 114 h 163"/>
                                    <a:gd name="T8" fmla="*/ 64 w 159"/>
                                    <a:gd name="T9" fmla="*/ 114 h 163"/>
                                    <a:gd name="T10" fmla="*/ 64 w 159"/>
                                    <a:gd name="T11" fmla="*/ 159 h 163"/>
                                    <a:gd name="T12" fmla="*/ 60 w 159"/>
                                    <a:gd name="T13" fmla="*/ 163 h 163"/>
                                    <a:gd name="T14" fmla="*/ 4 w 159"/>
                                    <a:gd name="T15" fmla="*/ 163 h 163"/>
                                    <a:gd name="T16" fmla="*/ 0 w 159"/>
                                    <a:gd name="T17" fmla="*/ 159 h 163"/>
                                    <a:gd name="T18" fmla="*/ 0 w 159"/>
                                    <a:gd name="T19" fmla="*/ 72 h 163"/>
                                    <a:gd name="T20" fmla="*/ 1 w 159"/>
                                    <a:gd name="T21" fmla="*/ 69 h 163"/>
                                    <a:gd name="T22" fmla="*/ 76 w 159"/>
                                    <a:gd name="T23" fmla="*/ 2 h 163"/>
                                    <a:gd name="T24" fmla="*/ 82 w 159"/>
                                    <a:gd name="T25" fmla="*/ 2 h 163"/>
                                    <a:gd name="T26" fmla="*/ 103 w 159"/>
                                    <a:gd name="T27" fmla="*/ 20 h 163"/>
                                    <a:gd name="T28" fmla="*/ 98 w 159"/>
                                    <a:gd name="T29" fmla="*/ 26 h 163"/>
                                    <a:gd name="T30" fmla="*/ 79 w 159"/>
                                    <a:gd name="T31" fmla="*/ 10 h 163"/>
                                    <a:gd name="T32" fmla="*/ 8 w 159"/>
                                    <a:gd name="T33" fmla="*/ 74 h 163"/>
                                    <a:gd name="T34" fmla="*/ 8 w 159"/>
                                    <a:gd name="T35" fmla="*/ 155 h 163"/>
                                    <a:gd name="T36" fmla="*/ 56 w 159"/>
                                    <a:gd name="T37" fmla="*/ 155 h 163"/>
                                    <a:gd name="T38" fmla="*/ 56 w 159"/>
                                    <a:gd name="T39" fmla="*/ 110 h 163"/>
                                    <a:gd name="T40" fmla="*/ 60 w 159"/>
                                    <a:gd name="T41" fmla="*/ 106 h 163"/>
                                    <a:gd name="T42" fmla="*/ 99 w 159"/>
                                    <a:gd name="T43" fmla="*/ 106 h 163"/>
                                    <a:gd name="T44" fmla="*/ 103 w 159"/>
                                    <a:gd name="T45" fmla="*/ 110 h 163"/>
                                    <a:gd name="T46" fmla="*/ 103 w 159"/>
                                    <a:gd name="T47" fmla="*/ 155 h 163"/>
                                    <a:gd name="T48" fmla="*/ 151 w 159"/>
                                    <a:gd name="T49" fmla="*/ 155 h 163"/>
                                    <a:gd name="T50" fmla="*/ 151 w 159"/>
                                    <a:gd name="T51" fmla="*/ 125 h 163"/>
                                    <a:gd name="T52" fmla="*/ 159 w 159"/>
                                    <a:gd name="T53" fmla="*/ 125 h 163"/>
                                    <a:gd name="T54" fmla="*/ 159 w 159"/>
                                    <a:gd name="T55" fmla="*/ 159 h 163"/>
                                    <a:gd name="T56" fmla="*/ 155 w 159"/>
                                    <a:gd name="T5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9" h="163">
                                      <a:moveTo>
                                        <a:pt x="155" y="163"/>
                                      </a:moveTo>
                                      <a:cubicBezTo>
                                        <a:pt x="99" y="163"/>
                                        <a:pt x="99" y="163"/>
                                        <a:pt x="99" y="163"/>
                                      </a:cubicBezTo>
                                      <a:cubicBezTo>
                                        <a:pt x="96" y="163"/>
                                        <a:pt x="95" y="161"/>
                                        <a:pt x="95" y="159"/>
                                      </a:cubicBezTo>
                                      <a:cubicBezTo>
                                        <a:pt x="95" y="114"/>
                                        <a:pt x="95" y="114"/>
                                        <a:pt x="95" y="114"/>
                                      </a:cubicBezTo>
                                      <a:cubicBezTo>
                                        <a:pt x="64" y="114"/>
                                        <a:pt x="64" y="114"/>
                                        <a:pt x="64" y="114"/>
                                      </a:cubicBezTo>
                                      <a:cubicBezTo>
                                        <a:pt x="64" y="159"/>
                                        <a:pt x="64" y="159"/>
                                        <a:pt x="64" y="159"/>
                                      </a:cubicBezTo>
                                      <a:cubicBezTo>
                                        <a:pt x="64" y="161"/>
                                        <a:pt x="62" y="163"/>
                                        <a:pt x="60" y="163"/>
                                      </a:cubicBezTo>
                                      <a:cubicBezTo>
                                        <a:pt x="4" y="163"/>
                                        <a:pt x="4" y="163"/>
                                        <a:pt x="4" y="163"/>
                                      </a:cubicBezTo>
                                      <a:cubicBezTo>
                                        <a:pt x="1" y="163"/>
                                        <a:pt x="0" y="161"/>
                                        <a:pt x="0" y="159"/>
                                      </a:cubicBezTo>
                                      <a:cubicBezTo>
                                        <a:pt x="0" y="72"/>
                                        <a:pt x="0" y="72"/>
                                        <a:pt x="0" y="72"/>
                                      </a:cubicBezTo>
                                      <a:cubicBezTo>
                                        <a:pt x="0" y="71"/>
                                        <a:pt x="0" y="70"/>
                                        <a:pt x="1" y="69"/>
                                      </a:cubicBezTo>
                                      <a:cubicBezTo>
                                        <a:pt x="76" y="2"/>
                                        <a:pt x="76" y="2"/>
                                        <a:pt x="76" y="2"/>
                                      </a:cubicBezTo>
                                      <a:cubicBezTo>
                                        <a:pt x="78" y="0"/>
                                        <a:pt x="80" y="0"/>
                                        <a:pt x="82" y="2"/>
                                      </a:cubicBezTo>
                                      <a:cubicBezTo>
                                        <a:pt x="103" y="20"/>
                                        <a:pt x="103" y="20"/>
                                        <a:pt x="103" y="20"/>
                                      </a:cubicBezTo>
                                      <a:cubicBezTo>
                                        <a:pt x="98" y="26"/>
                                        <a:pt x="98" y="26"/>
                                        <a:pt x="98" y="26"/>
                                      </a:cubicBezTo>
                                      <a:cubicBezTo>
                                        <a:pt x="79" y="10"/>
                                        <a:pt x="79" y="10"/>
                                        <a:pt x="79" y="10"/>
                                      </a:cubicBezTo>
                                      <a:cubicBezTo>
                                        <a:pt x="8" y="74"/>
                                        <a:pt x="8" y="74"/>
                                        <a:pt x="8" y="74"/>
                                      </a:cubicBezTo>
                                      <a:cubicBezTo>
                                        <a:pt x="8" y="155"/>
                                        <a:pt x="8" y="155"/>
                                        <a:pt x="8" y="155"/>
                                      </a:cubicBezTo>
                                      <a:cubicBezTo>
                                        <a:pt x="56" y="155"/>
                                        <a:pt x="56" y="155"/>
                                        <a:pt x="56" y="155"/>
                                      </a:cubicBezTo>
                                      <a:cubicBezTo>
                                        <a:pt x="56" y="110"/>
                                        <a:pt x="56" y="110"/>
                                        <a:pt x="56" y="110"/>
                                      </a:cubicBezTo>
                                      <a:cubicBezTo>
                                        <a:pt x="56" y="107"/>
                                        <a:pt x="57" y="106"/>
                                        <a:pt x="60" y="106"/>
                                      </a:cubicBezTo>
                                      <a:cubicBezTo>
                                        <a:pt x="99" y="106"/>
                                        <a:pt x="99" y="106"/>
                                        <a:pt x="99" y="106"/>
                                      </a:cubicBezTo>
                                      <a:cubicBezTo>
                                        <a:pt x="101" y="106"/>
                                        <a:pt x="103" y="107"/>
                                        <a:pt x="103" y="110"/>
                                      </a:cubicBezTo>
                                      <a:cubicBezTo>
                                        <a:pt x="103" y="155"/>
                                        <a:pt x="103" y="155"/>
                                        <a:pt x="103" y="155"/>
                                      </a:cubicBezTo>
                                      <a:cubicBezTo>
                                        <a:pt x="151" y="155"/>
                                        <a:pt x="151" y="155"/>
                                        <a:pt x="151" y="155"/>
                                      </a:cubicBezTo>
                                      <a:cubicBezTo>
                                        <a:pt x="151" y="125"/>
                                        <a:pt x="151" y="125"/>
                                        <a:pt x="151" y="125"/>
                                      </a:cubicBezTo>
                                      <a:cubicBezTo>
                                        <a:pt x="159" y="125"/>
                                        <a:pt x="159" y="125"/>
                                        <a:pt x="159" y="125"/>
                                      </a:cubicBezTo>
                                      <a:cubicBezTo>
                                        <a:pt x="159" y="159"/>
                                        <a:pt x="159" y="159"/>
                                        <a:pt x="159" y="159"/>
                                      </a:cubicBezTo>
                                      <a:cubicBezTo>
                                        <a:pt x="159" y="161"/>
                                        <a:pt x="157" y="163"/>
                                        <a:pt x="155" y="163"/>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2" name="Freeform 17"/>
                              <wps:cNvSpPr>
                                <a:spLocks/>
                              </wps:cNvSpPr>
                              <wps:spPr bwMode="auto">
                                <a:xfrm>
                                  <a:off x="263525" y="0"/>
                                  <a:ext cx="301625" cy="212725"/>
                                </a:xfrm>
                                <a:custGeom>
                                  <a:avLst/>
                                  <a:gdLst>
                                    <a:gd name="T0" fmla="*/ 7 w 190"/>
                                    <a:gd name="T1" fmla="*/ 134 h 134"/>
                                    <a:gd name="T2" fmla="*/ 0 w 190"/>
                                    <a:gd name="T3" fmla="*/ 126 h 134"/>
                                    <a:gd name="T4" fmla="*/ 42 w 190"/>
                                    <a:gd name="T5" fmla="*/ 88 h 134"/>
                                    <a:gd name="T6" fmla="*/ 42 w 190"/>
                                    <a:gd name="T7" fmla="*/ 22 h 134"/>
                                    <a:gd name="T8" fmla="*/ 83 w 190"/>
                                    <a:gd name="T9" fmla="*/ 22 h 134"/>
                                    <a:gd name="T10" fmla="*/ 83 w 190"/>
                                    <a:gd name="T11" fmla="*/ 53 h 134"/>
                                    <a:gd name="T12" fmla="*/ 144 w 190"/>
                                    <a:gd name="T13" fmla="*/ 0 h 134"/>
                                    <a:gd name="T14" fmla="*/ 190 w 190"/>
                                    <a:gd name="T15" fmla="*/ 39 h 134"/>
                                    <a:gd name="T16" fmla="*/ 184 w 190"/>
                                    <a:gd name="T17" fmla="*/ 48 h 134"/>
                                    <a:gd name="T18" fmla="*/ 144 w 190"/>
                                    <a:gd name="T19" fmla="*/ 13 h 134"/>
                                    <a:gd name="T20" fmla="*/ 73 w 190"/>
                                    <a:gd name="T21" fmla="*/ 75 h 134"/>
                                    <a:gd name="T22" fmla="*/ 73 w 190"/>
                                    <a:gd name="T23" fmla="*/ 33 h 134"/>
                                    <a:gd name="T24" fmla="*/ 52 w 190"/>
                                    <a:gd name="T25" fmla="*/ 33 h 134"/>
                                    <a:gd name="T26" fmla="*/ 52 w 190"/>
                                    <a:gd name="T27" fmla="*/ 93 h 134"/>
                                    <a:gd name="T28" fmla="*/ 7 w 190"/>
                                    <a:gd name="T2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0" h="134">
                                      <a:moveTo>
                                        <a:pt x="7" y="134"/>
                                      </a:moveTo>
                                      <a:lnTo>
                                        <a:pt x="0" y="126"/>
                                      </a:lnTo>
                                      <a:lnTo>
                                        <a:pt x="42" y="88"/>
                                      </a:lnTo>
                                      <a:lnTo>
                                        <a:pt x="42" y="22"/>
                                      </a:lnTo>
                                      <a:lnTo>
                                        <a:pt x="83" y="22"/>
                                      </a:lnTo>
                                      <a:lnTo>
                                        <a:pt x="83" y="53"/>
                                      </a:lnTo>
                                      <a:lnTo>
                                        <a:pt x="144" y="0"/>
                                      </a:lnTo>
                                      <a:lnTo>
                                        <a:pt x="190" y="39"/>
                                      </a:lnTo>
                                      <a:lnTo>
                                        <a:pt x="184" y="48"/>
                                      </a:lnTo>
                                      <a:lnTo>
                                        <a:pt x="144" y="13"/>
                                      </a:lnTo>
                                      <a:lnTo>
                                        <a:pt x="73" y="75"/>
                                      </a:lnTo>
                                      <a:lnTo>
                                        <a:pt x="73" y="33"/>
                                      </a:lnTo>
                                      <a:lnTo>
                                        <a:pt x="52" y="33"/>
                                      </a:lnTo>
                                      <a:lnTo>
                                        <a:pt x="52" y="93"/>
                                      </a:lnTo>
                                      <a:lnTo>
                                        <a:pt x="7" y="134"/>
                                      </a:ln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3" name="Freeform 18"/>
                              <wps:cNvSpPr>
                                <a:spLocks/>
                              </wps:cNvSpPr>
                              <wps:spPr bwMode="auto">
                                <a:xfrm>
                                  <a:off x="555625" y="34925"/>
                                  <a:ext cx="269875" cy="269875"/>
                                </a:xfrm>
                                <a:custGeom>
                                  <a:avLst/>
                                  <a:gdLst>
                                    <a:gd name="T0" fmla="*/ 65 w 131"/>
                                    <a:gd name="T1" fmla="*/ 131 h 131"/>
                                    <a:gd name="T2" fmla="*/ 19 w 131"/>
                                    <a:gd name="T3" fmla="*/ 112 h 131"/>
                                    <a:gd name="T4" fmla="*/ 0 w 131"/>
                                    <a:gd name="T5" fmla="*/ 65 h 131"/>
                                    <a:gd name="T6" fmla="*/ 20 w 131"/>
                                    <a:gd name="T7" fmla="*/ 18 h 131"/>
                                    <a:gd name="T8" fmla="*/ 25 w 131"/>
                                    <a:gd name="T9" fmla="*/ 18 h 131"/>
                                    <a:gd name="T10" fmla="*/ 25 w 131"/>
                                    <a:gd name="T11" fmla="*/ 24 h 131"/>
                                    <a:gd name="T12" fmla="*/ 8 w 131"/>
                                    <a:gd name="T13" fmla="*/ 65 h 131"/>
                                    <a:gd name="T14" fmla="*/ 25 w 131"/>
                                    <a:gd name="T15" fmla="*/ 106 h 131"/>
                                    <a:gd name="T16" fmla="*/ 65 w 131"/>
                                    <a:gd name="T17" fmla="*/ 123 h 131"/>
                                    <a:gd name="T18" fmla="*/ 123 w 131"/>
                                    <a:gd name="T19" fmla="*/ 65 h 131"/>
                                    <a:gd name="T20" fmla="*/ 65 w 131"/>
                                    <a:gd name="T21" fmla="*/ 8 h 131"/>
                                    <a:gd name="T22" fmla="*/ 41 w 131"/>
                                    <a:gd name="T23" fmla="*/ 13 h 131"/>
                                    <a:gd name="T24" fmla="*/ 36 w 131"/>
                                    <a:gd name="T25" fmla="*/ 11 h 131"/>
                                    <a:gd name="T26" fmla="*/ 38 w 131"/>
                                    <a:gd name="T27" fmla="*/ 6 h 131"/>
                                    <a:gd name="T28" fmla="*/ 65 w 131"/>
                                    <a:gd name="T29" fmla="*/ 0 h 131"/>
                                    <a:gd name="T30" fmla="*/ 131 w 131"/>
                                    <a:gd name="T31" fmla="*/ 65 h 131"/>
                                    <a:gd name="T32" fmla="*/ 65 w 131"/>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65" y="131"/>
                                      </a:moveTo>
                                      <a:cubicBezTo>
                                        <a:pt x="48" y="131"/>
                                        <a:pt x="31" y="124"/>
                                        <a:pt x="19" y="112"/>
                                      </a:cubicBezTo>
                                      <a:cubicBezTo>
                                        <a:pt x="6" y="99"/>
                                        <a:pt x="0" y="83"/>
                                        <a:pt x="0" y="65"/>
                                      </a:cubicBezTo>
                                      <a:cubicBezTo>
                                        <a:pt x="0" y="47"/>
                                        <a:pt x="7" y="31"/>
                                        <a:pt x="20" y="18"/>
                                      </a:cubicBezTo>
                                      <a:cubicBezTo>
                                        <a:pt x="21" y="17"/>
                                        <a:pt x="24" y="17"/>
                                        <a:pt x="25" y="18"/>
                                      </a:cubicBezTo>
                                      <a:cubicBezTo>
                                        <a:pt x="27" y="20"/>
                                        <a:pt x="27" y="22"/>
                                        <a:pt x="25" y="24"/>
                                      </a:cubicBezTo>
                                      <a:cubicBezTo>
                                        <a:pt x="14" y="35"/>
                                        <a:pt x="8" y="50"/>
                                        <a:pt x="8" y="65"/>
                                      </a:cubicBezTo>
                                      <a:cubicBezTo>
                                        <a:pt x="8" y="81"/>
                                        <a:pt x="14" y="95"/>
                                        <a:pt x="25" y="106"/>
                                      </a:cubicBezTo>
                                      <a:cubicBezTo>
                                        <a:pt x="35" y="117"/>
                                        <a:pt x="50" y="123"/>
                                        <a:pt x="65" y="123"/>
                                      </a:cubicBezTo>
                                      <a:cubicBezTo>
                                        <a:pt x="97" y="123"/>
                                        <a:pt x="123" y="97"/>
                                        <a:pt x="123" y="65"/>
                                      </a:cubicBezTo>
                                      <a:cubicBezTo>
                                        <a:pt x="123" y="34"/>
                                        <a:pt x="97" y="8"/>
                                        <a:pt x="65" y="8"/>
                                      </a:cubicBezTo>
                                      <a:cubicBezTo>
                                        <a:pt x="57" y="8"/>
                                        <a:pt x="49" y="9"/>
                                        <a:pt x="41" y="13"/>
                                      </a:cubicBezTo>
                                      <a:cubicBezTo>
                                        <a:pt x="39" y="14"/>
                                        <a:pt x="37" y="13"/>
                                        <a:pt x="36" y="11"/>
                                      </a:cubicBezTo>
                                      <a:cubicBezTo>
                                        <a:pt x="35" y="9"/>
                                        <a:pt x="36" y="7"/>
                                        <a:pt x="38" y="6"/>
                                      </a:cubicBezTo>
                                      <a:cubicBezTo>
                                        <a:pt x="47" y="2"/>
                                        <a:pt x="56" y="0"/>
                                        <a:pt x="65" y="0"/>
                                      </a:cubicBezTo>
                                      <a:cubicBezTo>
                                        <a:pt x="101" y="0"/>
                                        <a:pt x="131" y="29"/>
                                        <a:pt x="131" y="65"/>
                                      </a:cubicBezTo>
                                      <a:cubicBezTo>
                                        <a:pt x="131" y="101"/>
                                        <a:pt x="101" y="131"/>
                                        <a:pt x="65" y="131"/>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5" name="Freeform 19"/>
                              <wps:cNvSpPr>
                                <a:spLocks/>
                              </wps:cNvSpPr>
                              <wps:spPr bwMode="auto">
                                <a:xfrm>
                                  <a:off x="654050" y="92075"/>
                                  <a:ext cx="76200" cy="144463"/>
                                </a:xfrm>
                                <a:custGeom>
                                  <a:avLst/>
                                  <a:gdLst>
                                    <a:gd name="T0" fmla="*/ 37 w 37"/>
                                    <a:gd name="T1" fmla="*/ 45 h 70"/>
                                    <a:gd name="T2" fmla="*/ 16 w 37"/>
                                    <a:gd name="T3" fmla="*/ 24 h 70"/>
                                    <a:gd name="T4" fmla="*/ 21 w 37"/>
                                    <a:gd name="T5" fmla="*/ 19 h 70"/>
                                    <a:gd name="T6" fmla="*/ 30 w 37"/>
                                    <a:gd name="T7" fmla="*/ 23 h 70"/>
                                    <a:gd name="T8" fmla="*/ 37 w 37"/>
                                    <a:gd name="T9" fmla="*/ 15 h 70"/>
                                    <a:gd name="T10" fmla="*/ 24 w 37"/>
                                    <a:gd name="T11" fmla="*/ 8 h 70"/>
                                    <a:gd name="T12" fmla="*/ 24 w 37"/>
                                    <a:gd name="T13" fmla="*/ 0 h 70"/>
                                    <a:gd name="T14" fmla="*/ 15 w 37"/>
                                    <a:gd name="T15" fmla="*/ 0 h 70"/>
                                    <a:gd name="T16" fmla="*/ 15 w 37"/>
                                    <a:gd name="T17" fmla="*/ 9 h 70"/>
                                    <a:gd name="T18" fmla="*/ 2 w 37"/>
                                    <a:gd name="T19" fmla="*/ 24 h 70"/>
                                    <a:gd name="T20" fmla="*/ 24 w 37"/>
                                    <a:gd name="T21" fmla="*/ 46 h 70"/>
                                    <a:gd name="T22" fmla="*/ 18 w 37"/>
                                    <a:gd name="T23" fmla="*/ 51 h 70"/>
                                    <a:gd name="T24" fmla="*/ 7 w 37"/>
                                    <a:gd name="T25" fmla="*/ 46 h 70"/>
                                    <a:gd name="T26" fmla="*/ 0 w 37"/>
                                    <a:gd name="T27" fmla="*/ 56 h 70"/>
                                    <a:gd name="T28" fmla="*/ 15 w 37"/>
                                    <a:gd name="T29" fmla="*/ 62 h 70"/>
                                    <a:gd name="T30" fmla="*/ 15 w 37"/>
                                    <a:gd name="T31" fmla="*/ 70 h 70"/>
                                    <a:gd name="T32" fmla="*/ 24 w 37"/>
                                    <a:gd name="T33" fmla="*/ 70 h 70"/>
                                    <a:gd name="T34" fmla="*/ 24 w 37"/>
                                    <a:gd name="T35" fmla="*/ 62 h 70"/>
                                    <a:gd name="T36" fmla="*/ 37 w 37"/>
                                    <a:gd name="T37" fmla="*/ 4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70">
                                      <a:moveTo>
                                        <a:pt x="37" y="45"/>
                                      </a:moveTo>
                                      <a:cubicBezTo>
                                        <a:pt x="37" y="30"/>
                                        <a:pt x="16" y="30"/>
                                        <a:pt x="16" y="24"/>
                                      </a:cubicBezTo>
                                      <a:cubicBezTo>
                                        <a:pt x="16" y="20"/>
                                        <a:pt x="18" y="19"/>
                                        <a:pt x="21" y="19"/>
                                      </a:cubicBezTo>
                                      <a:cubicBezTo>
                                        <a:pt x="24" y="19"/>
                                        <a:pt x="27" y="21"/>
                                        <a:pt x="30" y="23"/>
                                      </a:cubicBezTo>
                                      <a:cubicBezTo>
                                        <a:pt x="37" y="15"/>
                                        <a:pt x="37" y="15"/>
                                        <a:pt x="37" y="15"/>
                                      </a:cubicBezTo>
                                      <a:cubicBezTo>
                                        <a:pt x="34" y="12"/>
                                        <a:pt x="30" y="9"/>
                                        <a:pt x="24" y="8"/>
                                      </a:cubicBezTo>
                                      <a:cubicBezTo>
                                        <a:pt x="24" y="0"/>
                                        <a:pt x="24" y="0"/>
                                        <a:pt x="24" y="0"/>
                                      </a:cubicBezTo>
                                      <a:cubicBezTo>
                                        <a:pt x="15" y="0"/>
                                        <a:pt x="15" y="0"/>
                                        <a:pt x="15" y="0"/>
                                      </a:cubicBezTo>
                                      <a:cubicBezTo>
                                        <a:pt x="15" y="9"/>
                                        <a:pt x="15" y="9"/>
                                        <a:pt x="15" y="9"/>
                                      </a:cubicBezTo>
                                      <a:cubicBezTo>
                                        <a:pt x="7" y="10"/>
                                        <a:pt x="2" y="16"/>
                                        <a:pt x="2" y="24"/>
                                      </a:cubicBezTo>
                                      <a:cubicBezTo>
                                        <a:pt x="2" y="39"/>
                                        <a:pt x="24" y="40"/>
                                        <a:pt x="24" y="46"/>
                                      </a:cubicBezTo>
                                      <a:cubicBezTo>
                                        <a:pt x="24" y="50"/>
                                        <a:pt x="22" y="51"/>
                                        <a:pt x="18" y="51"/>
                                      </a:cubicBezTo>
                                      <a:cubicBezTo>
                                        <a:pt x="15" y="51"/>
                                        <a:pt x="11" y="50"/>
                                        <a:pt x="7" y="46"/>
                                      </a:cubicBezTo>
                                      <a:cubicBezTo>
                                        <a:pt x="0" y="56"/>
                                        <a:pt x="0" y="56"/>
                                        <a:pt x="0" y="56"/>
                                      </a:cubicBezTo>
                                      <a:cubicBezTo>
                                        <a:pt x="5" y="60"/>
                                        <a:pt x="10" y="62"/>
                                        <a:pt x="15" y="62"/>
                                      </a:cubicBezTo>
                                      <a:cubicBezTo>
                                        <a:pt x="15" y="70"/>
                                        <a:pt x="15" y="70"/>
                                        <a:pt x="15" y="70"/>
                                      </a:cubicBezTo>
                                      <a:cubicBezTo>
                                        <a:pt x="24" y="70"/>
                                        <a:pt x="24" y="70"/>
                                        <a:pt x="24" y="70"/>
                                      </a:cubicBezTo>
                                      <a:cubicBezTo>
                                        <a:pt x="24" y="62"/>
                                        <a:pt x="24" y="62"/>
                                        <a:pt x="24" y="62"/>
                                      </a:cubicBezTo>
                                      <a:cubicBezTo>
                                        <a:pt x="33" y="60"/>
                                        <a:pt x="37" y="53"/>
                                        <a:pt x="37" y="45"/>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g:wgp>
                        </a:graphicData>
                      </a:graphic>
                    </wp:anchor>
                  </w:drawing>
                </mc:Choice>
                <mc:Fallback>
                  <w:pict>
                    <v:group w14:anchorId="089BE09D" id="Group 13" o:spid="_x0000_s1026" alt="&quot;&quot;" style="position:absolute;margin-left:44.25pt;margin-top:10.05pt;width:63pt;height:60.55pt;z-index:251659268" coordsize="8255,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">
                      <v:shape id="Freeform 12" o:spid="_x0000_s1027" style="position:absolute;left:3397;top:4429;width:365;height:1714;visibility:visible;mso-wrap-style:square;v-text-anchor:top" coordsize="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" path="m4,84v,,,,,c1,84,,82,,80,3,61,3,61,3,61,10,3,10,3,10,3,10,1,12,,14,v2,,4,2,3,4c11,62,11,62,11,62,8,81,8,81,8,81v,2,-2,3,-4,3xe" fillcolor="black" stroked="f">
                        <v:stroke joinstyle="miter"/>
                        <v:path arrowok="t" o:connecttype="custom" o:connectlocs="8114,171450;8114,171450;0,163286;6086,124505;20285,6123;28399,0;34485,8164;22314,126546;16228,165327;8114,171450" o:connectangles="0,0,0,0,0,0,0,0,0,0"/>
                      </v:shape>
                      <v:shape id="Freeform 13" o:spid="_x0000_s1028" style="position:absolute;top:3810;width:4318;height:3159;visibility:visible;mso-wrap-style:square;v-text-anchor:top" coordsize="2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" path="m68,146v-2,,-3,-2,-3,-4c65,139,66,132,72,131,201,110,201,110,201,110v2,-1,3,-2,3,-4c204,33,204,33,204,33v,-1,,-2,-1,-3c202,29,201,29,200,29,43,29,43,29,43,29,34,3,34,3,34,3,34,1,32,,31,,4,,4,,4,,2,,,1,,4,,6,2,8,4,8v24,,24,,24,c59,109,59,109,59,109v1,2,2,3,4,3c64,112,64,112,64,112v2,-1,4,-3,3,-5c58,77,58,77,58,77v31,,31,,31,c95,119,95,119,95,119v-24,4,-24,4,-24,4c61,125,56,135,57,143v1,7,5,11,11,11c210,154,210,154,210,154v,-8,,-8,,-8l68,146xm137,112v,-35,,-35,,-35c196,77,196,77,196,77v,25,,25,,25l137,112xm196,69v-59,,-59,,-59,c137,37,137,37,137,37v59,,59,,59,l196,69xm129,69v-33,,-33,,-33,c91,37,91,37,91,37v38,,38,,38,l129,69xm55,69c45,37,45,37,45,37v38,,38,,38,c88,69,88,69,88,69r-33,xm97,77v32,,32,,32,c129,113,129,113,129,113v-26,5,-26,5,-26,5l97,77xe" fillcolor="black" stroked="f">
                        <v:stroke joinstyle="miter"/>
                        <v:path arrowok="t" o:connecttype="custom" o:connectlocs="139821,299502;133652,291296;148046,268731;413294,225652;419463,217447;419463,67696;417407,61541;411238,59490;88416,59490;69910,6154;63742,0;8225,0;0,8206;8225,16411;57573,16411;121315,223601;129540,229755;131596,229755;137765,219498;119259,157957;183001,157957;195338,244115;145990,252320;117203,293348;139821,315913;431800,315913;431800,299502;139821,299502;281698,229755;281698,157957;403013,157957;403013,209241;281698,229755;403013,141545;281698,141545;281698,75901;403013,75901;403013,141545;265249,141545;197394,141545;187113,75901;265249,75901;265249,141545;113090,141545;92529,75901;170664,75901;180945,141545;113090,141545;199450,157957;265249,157957;265249,231806;211788,242063;199450,157957" o:connectangles="0,0,0,0,0,0,0,0,0,0,0,0,0,0,0,0,0,0,0,0,0,0,0,0,0,0,0,0,0,0,0,0,0,0,0,0,0,0,0,0,0,0,0,0,0,0,0,0,0,0,0,0,0"/>
                        <o:lock v:ext="edit" verticies="t"/>
                      </v:shape>
                      <v:shape id="Freeform 14" o:spid="_x0000_s1029" style="position:absolute;left:1333;top:7191;width:746;height:74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" path="m18,36c8,36,,28,,18,,9,8,,18,,28,,36,9,36,18v,10,-8,18,-18,18xm18,8c12,8,8,13,8,18v,6,4,10,10,10c23,28,28,24,28,18,28,13,23,8,18,8xe" fillcolor="black" stroked="f">
                        <v:stroke joinstyle="miter"/>
                        <v:path arrowok="t" o:connecttype="custom" o:connectlocs="37307,74613;0,37307;37307,0;74613,37307;37307,74613;37307,16581;16581,37307;37307,58032;58032,37307;37307,16581" o:connectangles="0,0,0,0,0,0,0,0,0,0"/>
                        <o:lock v:ext="edit" verticies="t"/>
                      </v:shape>
                      <v:shape id="Freeform 15" o:spid="_x0000_s1030" style="position:absolute;left:3460;top:7191;width:731;height:74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" path="m18,36c8,36,,28,,18,,9,8,,18,,28,,36,9,36,18v,10,-8,18,-18,18xm18,8c13,8,8,13,8,18v,6,5,10,10,10c24,28,28,24,28,18,28,13,24,8,18,8xe" fillcolor="black" stroked="f">
                        <v:stroke joinstyle="miter"/>
                        <v:path arrowok="t" o:connecttype="custom" o:connectlocs="36513,74613;0,37307;36513,0;73025,37307;36513,74613;36513,16581;16228,37307;36513,58032;56797,37307;36513,16581" o:connectangles="0,0,0,0,0,0,0,0,0,0"/>
                        <o:lock v:ext="edit" verticies="t"/>
                      </v:shape>
                      <v:shape id="Freeform 16" o:spid="_x0000_s1031" alt="&quot;&quot;" style="position:absolute;left:3302;top:682;width:3254;height:3350;visibility:visible;mso-wrap-style:square;v-text-anchor:top" coordsize="15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" path="m155,163v-56,,-56,,-56,c96,163,95,161,95,159v,-45,,-45,,-45c64,114,64,114,64,114v,45,,45,,45c64,161,62,163,60,163v-56,,-56,,-56,c1,163,,161,,159,,72,,72,,72,,71,,70,1,69,76,2,76,2,76,2,78,,80,,82,2v21,18,21,18,21,18c98,26,98,26,98,26,79,10,79,10,79,10,8,74,8,74,8,74v,81,,81,,81c56,155,56,155,56,155v,-45,,-45,,-45c56,107,57,106,60,106v39,,39,,39,c101,106,103,107,103,110v,45,,45,,45c151,155,151,155,151,155v,-30,,-30,,-30c159,125,159,125,159,125v,34,,34,,34c159,161,157,163,155,163xe" fillcolor="black" stroked="f">
                        <v:stroke joinstyle="miter"/>
                        <v:path arrowok="t" o:connecttype="custom" o:connectlocs="317251,334963;202631,334963;194444,326743;194444,234269;130994,234269;130994,326743;122807,334963;8187,334963;0,326743;0,147959;2047,141794;155555,4110;167836,4110;210818,41100;200584,53430;161696,20550;16374,152069;16374,318523;114620,318523;114620,226049;122807,217829;202631,217829;210818,226049;210818,318523;309064,318523;309064,256873;325438,256873;325438,326743;317251,334963" o:connectangles="0,0,0,0,0,0,0,0,0,0,0,0,0,0,0,0,0,0,0,0,0,0,0,0,0,0,0,0,0"/>
                      </v:shape>
                      <v:shape id="Freeform 17" o:spid="_x0000_s1032" style="position:absolute;left:2635;width:3016;height:2127;visibility:visible;mso-wrap-style:square;v-text-anchor:top" coordsize="1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" path="m7,134l,126,42,88r,-66l83,22r,31l144,r46,39l184,48,144,13,73,75r,-42l52,33r,60l7,134xe" fillcolor="black" stroked="f">
                        <v:stroke joinstyle="miter"/>
                        <v:path arrowok="t" o:connecttype="custom" o:connectlocs="11113,212725;0,200025;66675,139700;66675,34925;131763,34925;131763,84138;228600,0;301625,61913;292100,76200;228600,20638;115888,119063;115888,52388;82550,52388;82550,147638;11113,212725" o:connectangles="0,0,0,0,0,0,0,0,0,0,0,0,0,0,0"/>
                      </v:shape>
                      <v:shape id="Freeform 18" o:spid="_x0000_s1033" style="position:absolute;left:5556;top:349;width:2699;height:2699;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" path="m65,131v-17,,-34,-7,-46,-19c6,99,,83,,65,,47,7,31,20,18v1,-1,4,-1,5,c27,20,27,22,25,24,14,35,8,50,8,65v,16,6,30,17,41c35,117,50,123,65,123v32,,58,-26,58,-58c123,34,97,8,65,8,57,8,49,9,41,13v-2,1,-4,,-5,-2c35,9,36,7,38,6,47,2,56,,65,v36,,66,29,66,65c131,101,101,131,65,131xe" fillcolor="black" stroked="f">
                        <v:stroke joinstyle="miter"/>
                        <v:path arrowok="t" o:connecttype="custom" o:connectlocs="133907,269875;39142,230733;0,133907;41202,37082;51503,37082;51503,49443;16481,133907;51503,218372;133907,253394;253394,133907;133907,16481;84465,26781;74164,22661;78284,12361;133907,0;269875,133907;133907,269875" o:connectangles="0,0,0,0,0,0,0,0,0,0,0,0,0,0,0,0,0"/>
                      </v:shape>
                      <v:shape id="Freeform 19" o:spid="_x0000_s1034" style="position:absolute;left:6540;top:920;width:762;height:1445;visibility:visible;mso-wrap-style:square;v-text-anchor:top" coordsize="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" path="m37,45c37,30,16,30,16,24v,-4,2,-5,5,-5c24,19,27,21,30,23v7,-8,7,-8,7,-8c34,12,30,9,24,8,24,,24,,24,,15,,15,,15,v,9,,9,,9c7,10,2,16,2,24v,15,22,16,22,22c24,50,22,51,18,51,15,51,11,50,7,46,,56,,56,,56v5,4,10,6,15,6c15,70,15,70,15,70v9,,9,,9,c24,62,24,62,24,62,33,60,37,53,37,45xe" fillcolor="black" stroked="f">
                        <v:stroke joinstyle="miter"/>
                        <v:path arrowok="t" o:connecttype="custom" o:connectlocs="76200,92869;32951,49530;43249,39211;61784,47466;76200,30956;49427,16510;49427,0;30892,0;30892,18574;4119,49530;49427,94933;37070,105252;14416,94933;0,115570;30892,127953;30892,144463;49427,144463;49427,127953;76200,92869" o:connectangles="0,0,0,0,0,0,0,0,0,0,0,0,0,0,0,0,0,0,0"/>
                      </v:shape>
                      <w10:wrap type="square"/>
                    </v:group>
                  </w:pict>
                </mc:Fallback>
              </mc:AlternateContent>
            </w:r>
          </w:p>
        </w:tc>
        <w:tc>
          <w:tcPr>
            <w:tcW w:w="3261" w:type="dxa"/>
          </w:tcPr>
          <w:p w14:paraId="474148F6" w14:textId="2BB92636" w:rsidR="003D33D9" w:rsidRPr="008047E2" w:rsidRDefault="003D33D9" w:rsidP="003D512E">
            <w:pPr>
              <w:spacing w:before="0"/>
              <w:jc w:val="center"/>
              <w:rPr>
                <w:rFonts w:asciiTheme="minorHAnsi" w:hAnsiTheme="minorHAnsi" w:cstheme="minorBidi"/>
                <w:b/>
                <w:bCs/>
                <w:sz w:val="6"/>
                <w:szCs w:val="4"/>
              </w:rPr>
            </w:pPr>
          </w:p>
          <w:p w14:paraId="5638C667" w14:textId="64BC8879" w:rsidR="000C2DFC" w:rsidRPr="00AF02F6" w:rsidRDefault="00F62DCA" w:rsidP="003D512E">
            <w:pPr>
              <w:spacing w:before="0"/>
              <w:jc w:val="center"/>
              <w:rPr>
                <w:rFonts w:asciiTheme="minorHAnsi" w:hAnsiTheme="minorHAnsi" w:cstheme="minorBidi"/>
                <w:b/>
              </w:rPr>
            </w:pPr>
            <w:r w:rsidRPr="00F62DCA">
              <w:rPr>
                <w:rFonts w:asciiTheme="minorHAnsi" w:hAnsiTheme="minorHAnsi" w:cstheme="minorHAnsi"/>
                <w:b/>
                <w:bCs/>
                <w:noProof/>
              </w:rPr>
              <mc:AlternateContent>
                <mc:Choice Requires="wpg">
                  <w:drawing>
                    <wp:inline distT="0" distB="0" distL="0" distR="0" wp14:anchorId="512DFC37" wp14:editId="561A4FD1">
                      <wp:extent cx="1063256" cy="875168"/>
                      <wp:effectExtent l="0" t="0" r="0" b="0"/>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3256" cy="875168"/>
                                <a:chOff x="0" y="0"/>
                                <a:chExt cx="1081484" cy="890587"/>
                              </a:xfrm>
                            </wpg:grpSpPr>
                            <pic:pic xmlns:pic="http://schemas.openxmlformats.org/drawingml/2006/picture">
                              <pic:nvPicPr>
                                <pic:cNvPr id="41" name="Graphic 88" descr="Group brainstorm outline"/>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134937"/>
                                  <a:ext cx="755650" cy="755650"/>
                                </a:xfrm>
                                <a:prstGeom prst="rect">
                                  <a:avLst/>
                                </a:prstGeom>
                              </pic:spPr>
                            </pic:pic>
                            <pic:pic xmlns:pic="http://schemas.openxmlformats.org/drawingml/2006/picture">
                              <pic:nvPicPr>
                                <pic:cNvPr id="42" name="Graphic 10" descr="Statistics outline"/>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flipH="1">
                                  <a:off x="533002" y="0"/>
                                  <a:ext cx="548482" cy="548482"/>
                                </a:xfrm>
                                <a:prstGeom prst="rect">
                                  <a:avLst/>
                                </a:prstGeom>
                              </pic:spPr>
                            </pic:pic>
                          </wpg:wgp>
                        </a:graphicData>
                      </a:graphic>
                    </wp:inline>
                  </w:drawing>
                </mc:Choice>
                <mc:Fallback>
                  <w:pict>
                    <v:group w14:anchorId="2A6FB9E9" id="Group 40" o:spid="_x0000_s1026" alt="&quot;&quot;" style="width:83.7pt;height:68.9pt;mso-position-horizontal-relative:char;mso-position-vertical-relative:line" coordsize="10814,8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8" o:spid="_x0000_s1027" type="#_x0000_t75" alt="Group brainstorm outline" style="position:absolute;top:1349;width:75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">
                        <v:imagedata r:id="rId44" o:title="Group brainstorm outline"/>
                      </v:shape>
                      <v:shape id="Graphic 10" o:spid="_x0000_s1028" type="#_x0000_t75" alt="Statistics outline" style="position:absolute;left:5330;width:5484;height:54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">
                        <v:imagedata r:id="rId45" o:title="Statistics outline"/>
                      </v:shape>
                      <w10:anchorlock/>
                    </v:group>
                  </w:pict>
                </mc:Fallback>
              </mc:AlternateContent>
            </w:r>
          </w:p>
        </w:tc>
        <w:tc>
          <w:tcPr>
            <w:tcW w:w="3261" w:type="dxa"/>
          </w:tcPr>
          <w:p w14:paraId="5B20512E" w14:textId="48B20A05" w:rsidR="000C2DFC" w:rsidRPr="00AF02F6" w:rsidRDefault="004267EC" w:rsidP="003D512E">
            <w:pPr>
              <w:spacing w:before="0"/>
              <w:jc w:val="center"/>
            </w:pPr>
            <w:r>
              <w:rPr>
                <w:noProof/>
              </w:rPr>
              <w:drawing>
                <wp:inline distT="0" distB="0" distL="0" distR="0" wp14:anchorId="74B2070B" wp14:editId="4A74F05F">
                  <wp:extent cx="914400" cy="9144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r>
      <w:tr w:rsidR="000C2DFC" w14:paraId="11487B09" w14:textId="77777777" w:rsidTr="00245FCC">
        <w:trPr>
          <w:trHeight w:val="942"/>
          <w:jc w:val="center"/>
        </w:trPr>
        <w:tc>
          <w:tcPr>
            <w:tcW w:w="3261" w:type="dxa"/>
          </w:tcPr>
          <w:p w14:paraId="3A54C7DD" w14:textId="114F8CCD" w:rsidR="000C2DFC" w:rsidRPr="00AF02F6" w:rsidRDefault="00EE4975" w:rsidP="003D512E">
            <w:pPr>
              <w:spacing w:before="0"/>
              <w:jc w:val="center"/>
              <w:rPr>
                <w:rFonts w:asciiTheme="minorHAnsi" w:hAnsiTheme="minorHAnsi" w:cstheme="minorBidi"/>
                <w:b/>
              </w:rPr>
            </w:pPr>
            <w:r w:rsidRPr="60E54AAC">
              <w:rPr>
                <w:rFonts w:asciiTheme="minorHAnsi" w:hAnsiTheme="minorHAnsi" w:cstheme="minorBidi"/>
                <w:b/>
              </w:rPr>
              <w:t xml:space="preserve">Empowering the ACCC to protect competition and consumers </w:t>
            </w:r>
            <w:r w:rsidR="00245FCC">
              <w:rPr>
                <w:rFonts w:asciiTheme="minorHAnsi" w:hAnsiTheme="minorHAnsi" w:cstheme="minorBidi"/>
                <w:b/>
              </w:rPr>
              <w:t>from anti-competitive mergers</w:t>
            </w:r>
          </w:p>
        </w:tc>
        <w:tc>
          <w:tcPr>
            <w:tcW w:w="3261" w:type="dxa"/>
          </w:tcPr>
          <w:p w14:paraId="6184460C" w14:textId="5D1EE79B" w:rsidR="000C2DFC" w:rsidRPr="00AF02F6" w:rsidRDefault="00140BD8" w:rsidP="003D512E">
            <w:pPr>
              <w:spacing w:before="0"/>
              <w:jc w:val="center"/>
              <w:rPr>
                <w:rFonts w:asciiTheme="minorHAnsi" w:hAnsiTheme="minorHAnsi" w:cstheme="minorBidi"/>
                <w:b/>
              </w:rPr>
            </w:pPr>
            <w:r w:rsidRPr="60E54AAC">
              <w:rPr>
                <w:rFonts w:asciiTheme="minorHAnsi" w:hAnsiTheme="minorHAnsi" w:cstheme="minorBidi"/>
                <w:b/>
              </w:rPr>
              <w:t>Greater scope for</w:t>
            </w:r>
            <w:r w:rsidR="00EE4975" w:rsidRPr="60E54AAC">
              <w:rPr>
                <w:rFonts w:asciiTheme="minorHAnsi" w:hAnsiTheme="minorHAnsi" w:cstheme="minorBidi"/>
                <w:b/>
              </w:rPr>
              <w:t xml:space="preserve"> </w:t>
            </w:r>
            <w:r w:rsidR="00A60AE9" w:rsidRPr="60E54AAC">
              <w:rPr>
                <w:rFonts w:asciiTheme="minorHAnsi" w:hAnsiTheme="minorHAnsi" w:cstheme="minorBidi"/>
                <w:b/>
              </w:rPr>
              <w:t xml:space="preserve">economic and evidence-based analysis </w:t>
            </w:r>
            <w:r w:rsidR="00FF00C0" w:rsidRPr="60E54AAC">
              <w:rPr>
                <w:rFonts w:asciiTheme="minorHAnsi" w:hAnsiTheme="minorHAnsi" w:cstheme="minorBidi"/>
                <w:b/>
              </w:rPr>
              <w:t>with</w:t>
            </w:r>
            <w:r w:rsidRPr="60E54AAC">
              <w:rPr>
                <w:rFonts w:asciiTheme="minorHAnsi" w:hAnsiTheme="minorHAnsi" w:cstheme="minorBidi"/>
                <w:b/>
              </w:rPr>
              <w:t xml:space="preserve"> </w:t>
            </w:r>
            <w:r w:rsidR="00F82579" w:rsidRPr="60E54AAC">
              <w:rPr>
                <w:rFonts w:asciiTheme="minorHAnsi" w:hAnsiTheme="minorHAnsi" w:cstheme="minorBidi"/>
                <w:b/>
              </w:rPr>
              <w:t>an</w:t>
            </w:r>
            <w:r w:rsidRPr="60E54AAC">
              <w:rPr>
                <w:rFonts w:asciiTheme="minorHAnsi" w:hAnsiTheme="minorHAnsi" w:cstheme="minorBidi"/>
                <w:b/>
              </w:rPr>
              <w:t xml:space="preserve"> </w:t>
            </w:r>
            <w:r w:rsidR="00EE4975" w:rsidRPr="60E54AAC">
              <w:rPr>
                <w:rFonts w:asciiTheme="minorHAnsi" w:hAnsiTheme="minorHAnsi" w:cstheme="minorBidi"/>
                <w:b/>
              </w:rPr>
              <w:t xml:space="preserve">administrative </w:t>
            </w:r>
            <w:r w:rsidR="00066E19">
              <w:rPr>
                <w:rFonts w:asciiTheme="minorHAnsi" w:hAnsiTheme="minorHAnsi" w:cstheme="minorBidi"/>
                <w:b/>
              </w:rPr>
              <w:t>decision-maker</w:t>
            </w:r>
          </w:p>
        </w:tc>
        <w:tc>
          <w:tcPr>
            <w:tcW w:w="3261" w:type="dxa"/>
          </w:tcPr>
          <w:p w14:paraId="2A802642" w14:textId="18AD6A17" w:rsidR="000C2DFC" w:rsidRPr="00AF02F6" w:rsidRDefault="00A729D8" w:rsidP="003D512E">
            <w:pPr>
              <w:spacing w:before="0"/>
              <w:jc w:val="center"/>
              <w:rPr>
                <w:rFonts w:asciiTheme="minorHAnsi" w:hAnsiTheme="minorHAnsi" w:cstheme="minorBidi"/>
                <w:b/>
              </w:rPr>
            </w:pPr>
            <w:r w:rsidRPr="014E37FE">
              <w:rPr>
                <w:rFonts w:asciiTheme="minorHAnsi" w:hAnsiTheme="minorHAnsi" w:cstheme="minorBidi"/>
                <w:b/>
              </w:rPr>
              <w:t>A</w:t>
            </w:r>
            <w:r w:rsidR="00FA141E" w:rsidRPr="014E37FE">
              <w:rPr>
                <w:rFonts w:asciiTheme="minorHAnsi" w:hAnsiTheme="minorHAnsi" w:cstheme="minorBidi"/>
                <w:b/>
              </w:rPr>
              <w:t xml:space="preserve"> </w:t>
            </w:r>
            <w:r w:rsidR="004B18CD" w:rsidRPr="014E37FE">
              <w:rPr>
                <w:rFonts w:asciiTheme="minorHAnsi" w:hAnsiTheme="minorHAnsi" w:cstheme="minorBidi"/>
                <w:b/>
              </w:rPr>
              <w:t xml:space="preserve">simpler single process with </w:t>
            </w:r>
            <w:r w:rsidR="00066E19">
              <w:rPr>
                <w:rFonts w:asciiTheme="minorHAnsi" w:hAnsiTheme="minorHAnsi" w:cstheme="minorBidi"/>
                <w:b/>
              </w:rPr>
              <w:t>faster administrative decision-making</w:t>
            </w:r>
          </w:p>
        </w:tc>
      </w:tr>
      <w:tr w:rsidR="000C2DFC" w14:paraId="1AB318AD" w14:textId="77777777" w:rsidTr="00245FCC">
        <w:trPr>
          <w:trHeight w:val="1347"/>
          <w:jc w:val="center"/>
        </w:trPr>
        <w:tc>
          <w:tcPr>
            <w:tcW w:w="3261" w:type="dxa"/>
          </w:tcPr>
          <w:p w14:paraId="24A4BF92" w14:textId="55D5F58D" w:rsidR="000C2DFC" w:rsidRPr="00AF02F6" w:rsidRDefault="009C7922" w:rsidP="003D512E">
            <w:pPr>
              <w:spacing w:before="0"/>
              <w:jc w:val="center"/>
            </w:pPr>
            <w:r w:rsidRPr="009C7922">
              <w:rPr>
                <w:noProof/>
              </w:rPr>
              <w:drawing>
                <wp:inline distT="0" distB="0" distL="0" distR="0" wp14:anchorId="5E8A9AD3" wp14:editId="0C3A16F7">
                  <wp:extent cx="914400" cy="914400"/>
                  <wp:effectExtent l="0" t="0" r="0" b="0"/>
                  <wp:docPr id="54" name="Graphic 54">
                    <a:extLst xmlns:a="http://schemas.openxmlformats.org/drawingml/2006/main">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3261" w:type="dxa"/>
          </w:tcPr>
          <w:p w14:paraId="5F55F976" w14:textId="1442BAD9" w:rsidR="000C2DFC" w:rsidRPr="00AF02F6" w:rsidRDefault="00CD5CF4" w:rsidP="003D512E">
            <w:pPr>
              <w:spacing w:before="0"/>
              <w:jc w:val="center"/>
              <w:rPr>
                <w:rFonts w:asciiTheme="minorHAnsi" w:hAnsiTheme="minorHAnsi" w:cstheme="minorBidi"/>
                <w:b/>
              </w:rPr>
            </w:pPr>
            <w:r w:rsidRPr="00CD5CF4">
              <w:rPr>
                <w:rFonts w:asciiTheme="minorHAnsi" w:hAnsiTheme="minorHAnsi" w:cstheme="minorHAnsi"/>
                <w:b/>
                <w:bCs/>
                <w:noProof/>
              </w:rPr>
              <mc:AlternateContent>
                <mc:Choice Requires="wps">
                  <w:drawing>
                    <wp:anchor distT="0" distB="0" distL="114300" distR="114300" simplePos="0" relativeHeight="251658240" behindDoc="1" locked="0" layoutInCell="1" allowOverlap="1" wp14:anchorId="39A3C80A" wp14:editId="56ED5D12">
                      <wp:simplePos x="0" y="0"/>
                      <wp:positionH relativeFrom="column">
                        <wp:posOffset>549762</wp:posOffset>
                      </wp:positionH>
                      <wp:positionV relativeFrom="paragraph">
                        <wp:posOffset>117165</wp:posOffset>
                      </wp:positionV>
                      <wp:extent cx="774000" cy="756000"/>
                      <wp:effectExtent l="0" t="0" r="0" b="0"/>
                      <wp:wrapSquare wrapText="bothSides"/>
                      <wp:docPr id="36" name="Freeform: 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000" cy="756000"/>
                              </a:xfrm>
                              <a:custGeom>
                                <a:avLst/>
                                <a:gdLst>
                                  <a:gd name="T0" fmla="*/ 380 w 412"/>
                                  <a:gd name="T1" fmla="*/ 109 h 401"/>
                                  <a:gd name="T2" fmla="*/ 350 w 412"/>
                                  <a:gd name="T3" fmla="*/ 66 h 401"/>
                                  <a:gd name="T4" fmla="*/ 299 w 412"/>
                                  <a:gd name="T5" fmla="*/ 27 h 401"/>
                                  <a:gd name="T6" fmla="*/ 41 w 412"/>
                                  <a:gd name="T7" fmla="*/ 120 h 401"/>
                                  <a:gd name="T8" fmla="*/ 366 w 412"/>
                                  <a:gd name="T9" fmla="*/ 304 h 401"/>
                                  <a:gd name="T10" fmla="*/ 360 w 412"/>
                                  <a:gd name="T11" fmla="*/ 291 h 401"/>
                                  <a:gd name="T12" fmla="*/ 335 w 412"/>
                                  <a:gd name="T13" fmla="*/ 236 h 401"/>
                                  <a:gd name="T14" fmla="*/ 295 w 412"/>
                                  <a:gd name="T15" fmla="*/ 163 h 401"/>
                                  <a:gd name="T16" fmla="*/ 275 w 412"/>
                                  <a:gd name="T17" fmla="*/ 107 h 401"/>
                                  <a:gd name="T18" fmla="*/ 372 w 412"/>
                                  <a:gd name="T19" fmla="*/ 118 h 401"/>
                                  <a:gd name="T20" fmla="*/ 284 w 412"/>
                                  <a:gd name="T21" fmla="*/ 75 h 401"/>
                                  <a:gd name="T22" fmla="*/ 236 w 412"/>
                                  <a:gd name="T23" fmla="*/ 67 h 401"/>
                                  <a:gd name="T24" fmla="*/ 298 w 412"/>
                                  <a:gd name="T25" fmla="*/ 40 h 401"/>
                                  <a:gd name="T26" fmla="*/ 156 w 412"/>
                                  <a:gd name="T27" fmla="*/ 45 h 401"/>
                                  <a:gd name="T28" fmla="*/ 182 w 412"/>
                                  <a:gd name="T29" fmla="*/ 62 h 401"/>
                                  <a:gd name="T30" fmla="*/ 78 w 412"/>
                                  <a:gd name="T31" fmla="*/ 120 h 401"/>
                                  <a:gd name="T32" fmla="*/ 90 w 412"/>
                                  <a:gd name="T33" fmla="*/ 167 h 401"/>
                                  <a:gd name="T34" fmla="*/ 138 w 412"/>
                                  <a:gd name="T35" fmla="*/ 36 h 401"/>
                                  <a:gd name="T36" fmla="*/ 47 w 412"/>
                                  <a:gd name="T37" fmla="*/ 140 h 401"/>
                                  <a:gd name="T38" fmla="*/ 99 w 412"/>
                                  <a:gd name="T39" fmla="*/ 174 h 401"/>
                                  <a:gd name="T40" fmla="*/ 89 w 412"/>
                                  <a:gd name="T41" fmla="*/ 127 h 401"/>
                                  <a:gd name="T42" fmla="*/ 188 w 412"/>
                                  <a:gd name="T43" fmla="*/ 72 h 401"/>
                                  <a:gd name="T44" fmla="*/ 168 w 412"/>
                                  <a:gd name="T45" fmla="*/ 42 h 401"/>
                                  <a:gd name="T46" fmla="*/ 265 w 412"/>
                                  <a:gd name="T47" fmla="*/ 41 h 401"/>
                                  <a:gd name="T48" fmla="*/ 230 w 412"/>
                                  <a:gd name="T49" fmla="*/ 81 h 401"/>
                                  <a:gd name="T50" fmla="*/ 299 w 412"/>
                                  <a:gd name="T51" fmla="*/ 92 h 401"/>
                                  <a:gd name="T52" fmla="*/ 328 w 412"/>
                                  <a:gd name="T53" fmla="*/ 117 h 401"/>
                                  <a:gd name="T54" fmla="*/ 220 w 412"/>
                                  <a:gd name="T55" fmla="*/ 118 h 401"/>
                                  <a:gd name="T56" fmla="*/ 314 w 412"/>
                                  <a:gd name="T57" fmla="*/ 187 h 401"/>
                                  <a:gd name="T58" fmla="*/ 329 w 412"/>
                                  <a:gd name="T59" fmla="*/ 250 h 401"/>
                                  <a:gd name="T60" fmla="*/ 213 w 412"/>
                                  <a:gd name="T61" fmla="*/ 370 h 401"/>
                                  <a:gd name="T62" fmla="*/ 192 w 412"/>
                                  <a:gd name="T63" fmla="*/ 212 h 401"/>
                                  <a:gd name="T64" fmla="*/ 151 w 412"/>
                                  <a:gd name="T65" fmla="*/ 188 h 401"/>
                                  <a:gd name="T66" fmla="*/ 124 w 412"/>
                                  <a:gd name="T67" fmla="*/ 172 h 401"/>
                                  <a:gd name="T68" fmla="*/ 128 w 412"/>
                                  <a:gd name="T69" fmla="*/ 252 h 401"/>
                                  <a:gd name="T70" fmla="*/ 152 w 412"/>
                                  <a:gd name="T71" fmla="*/ 351 h 401"/>
                                  <a:gd name="T72" fmla="*/ 173 w 412"/>
                                  <a:gd name="T73" fmla="*/ 310 h 401"/>
                                  <a:gd name="T74" fmla="*/ 210 w 412"/>
                                  <a:gd name="T75" fmla="*/ 221 h 401"/>
                                  <a:gd name="T76" fmla="*/ 185 w 412"/>
                                  <a:gd name="T77" fmla="*/ 273 h 401"/>
                                  <a:gd name="T78" fmla="*/ 155 w 412"/>
                                  <a:gd name="T79" fmla="*/ 338 h 401"/>
                                  <a:gd name="T80" fmla="*/ 133 w 412"/>
                                  <a:gd name="T81" fmla="*/ 241 h 401"/>
                                  <a:gd name="T82" fmla="*/ 124 w 412"/>
                                  <a:gd name="T83" fmla="*/ 184 h 401"/>
                                  <a:gd name="T84" fmla="*/ 160 w 412"/>
                                  <a:gd name="T85" fmla="*/ 200 h 401"/>
                                  <a:gd name="T86" fmla="*/ 202 w 412"/>
                                  <a:gd name="T87" fmla="*/ 232 h 401"/>
                                  <a:gd name="T88" fmla="*/ 207 w 412"/>
                                  <a:gd name="T89" fmla="*/ 235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2" h="401">
                                    <a:moveTo>
                                      <a:pt x="367" y="302"/>
                                    </a:moveTo>
                                    <a:cubicBezTo>
                                      <a:pt x="407" y="246"/>
                                      <a:pt x="412" y="171"/>
                                      <a:pt x="380" y="109"/>
                                    </a:cubicBezTo>
                                    <a:cubicBezTo>
                                      <a:pt x="380" y="109"/>
                                      <a:pt x="380" y="109"/>
                                      <a:pt x="380" y="109"/>
                                    </a:cubicBezTo>
                                    <a:cubicBezTo>
                                      <a:pt x="380" y="109"/>
                                      <a:pt x="380" y="109"/>
                                      <a:pt x="380" y="109"/>
                                    </a:cubicBezTo>
                                    <a:cubicBezTo>
                                      <a:pt x="372" y="93"/>
                                      <a:pt x="362" y="79"/>
                                      <a:pt x="350" y="66"/>
                                    </a:cubicBezTo>
                                    <a:cubicBezTo>
                                      <a:pt x="350" y="66"/>
                                      <a:pt x="350" y="66"/>
                                      <a:pt x="350" y="66"/>
                                    </a:cubicBezTo>
                                    <a:cubicBezTo>
                                      <a:pt x="349" y="65"/>
                                      <a:pt x="349" y="65"/>
                                      <a:pt x="348" y="64"/>
                                    </a:cubicBezTo>
                                    <a:cubicBezTo>
                                      <a:pt x="334" y="50"/>
                                      <a:pt x="318" y="37"/>
                                      <a:pt x="300" y="28"/>
                                    </a:cubicBezTo>
                                    <a:cubicBezTo>
                                      <a:pt x="299" y="28"/>
                                      <a:pt x="299" y="27"/>
                                      <a:pt x="299" y="27"/>
                                    </a:cubicBezTo>
                                    <a:cubicBezTo>
                                      <a:pt x="248" y="1"/>
                                      <a:pt x="188" y="0"/>
                                      <a:pt x="136" y="24"/>
                                    </a:cubicBezTo>
                                    <a:cubicBezTo>
                                      <a:pt x="135" y="24"/>
                                      <a:pt x="135" y="24"/>
                                      <a:pt x="135" y="24"/>
                                    </a:cubicBezTo>
                                    <a:cubicBezTo>
                                      <a:pt x="93" y="44"/>
                                      <a:pt x="60" y="78"/>
                                      <a:pt x="41" y="120"/>
                                    </a:cubicBezTo>
                                    <a:cubicBezTo>
                                      <a:pt x="41" y="120"/>
                                      <a:pt x="41" y="121"/>
                                      <a:pt x="41" y="121"/>
                                    </a:cubicBezTo>
                                    <a:cubicBezTo>
                                      <a:pt x="0" y="216"/>
                                      <a:pt x="45" y="326"/>
                                      <a:pt x="140" y="367"/>
                                    </a:cubicBezTo>
                                    <a:cubicBezTo>
                                      <a:pt x="220" y="401"/>
                                      <a:pt x="314" y="375"/>
                                      <a:pt x="366" y="304"/>
                                    </a:cubicBezTo>
                                    <a:cubicBezTo>
                                      <a:pt x="366" y="303"/>
                                      <a:pt x="366" y="303"/>
                                      <a:pt x="366" y="303"/>
                                    </a:cubicBezTo>
                                    <a:cubicBezTo>
                                      <a:pt x="366" y="303"/>
                                      <a:pt x="366" y="302"/>
                                      <a:pt x="367" y="302"/>
                                    </a:cubicBezTo>
                                    <a:close/>
                                    <a:moveTo>
                                      <a:pt x="360" y="291"/>
                                    </a:moveTo>
                                    <a:cubicBezTo>
                                      <a:pt x="351" y="282"/>
                                      <a:pt x="347" y="269"/>
                                      <a:pt x="344" y="258"/>
                                    </a:cubicBezTo>
                                    <a:cubicBezTo>
                                      <a:pt x="343" y="254"/>
                                      <a:pt x="342" y="249"/>
                                      <a:pt x="340" y="245"/>
                                    </a:cubicBezTo>
                                    <a:cubicBezTo>
                                      <a:pt x="339" y="242"/>
                                      <a:pt x="337" y="239"/>
                                      <a:pt x="335" y="236"/>
                                    </a:cubicBezTo>
                                    <a:cubicBezTo>
                                      <a:pt x="330" y="225"/>
                                      <a:pt x="321" y="208"/>
                                      <a:pt x="324" y="200"/>
                                    </a:cubicBezTo>
                                    <a:cubicBezTo>
                                      <a:pt x="330" y="187"/>
                                      <a:pt x="324" y="171"/>
                                      <a:pt x="310" y="165"/>
                                    </a:cubicBezTo>
                                    <a:cubicBezTo>
                                      <a:pt x="305" y="163"/>
                                      <a:pt x="300" y="162"/>
                                      <a:pt x="295" y="163"/>
                                    </a:cubicBezTo>
                                    <a:cubicBezTo>
                                      <a:pt x="280" y="164"/>
                                      <a:pt x="264" y="162"/>
                                      <a:pt x="249" y="156"/>
                                    </a:cubicBezTo>
                                    <a:cubicBezTo>
                                      <a:pt x="239" y="152"/>
                                      <a:pt x="227" y="135"/>
                                      <a:pt x="231" y="122"/>
                                    </a:cubicBezTo>
                                    <a:cubicBezTo>
                                      <a:pt x="236" y="109"/>
                                      <a:pt x="263" y="103"/>
                                      <a:pt x="275" y="107"/>
                                    </a:cubicBezTo>
                                    <a:cubicBezTo>
                                      <a:pt x="280" y="109"/>
                                      <a:pt x="285" y="112"/>
                                      <a:pt x="290" y="115"/>
                                    </a:cubicBezTo>
                                    <a:cubicBezTo>
                                      <a:pt x="301" y="122"/>
                                      <a:pt x="315" y="131"/>
                                      <a:pt x="330" y="129"/>
                                    </a:cubicBezTo>
                                    <a:cubicBezTo>
                                      <a:pt x="344" y="126"/>
                                      <a:pt x="358" y="123"/>
                                      <a:pt x="372" y="118"/>
                                    </a:cubicBezTo>
                                    <a:cubicBezTo>
                                      <a:pt x="398" y="174"/>
                                      <a:pt x="394" y="239"/>
                                      <a:pt x="360" y="291"/>
                                    </a:cubicBezTo>
                                    <a:close/>
                                    <a:moveTo>
                                      <a:pt x="335" y="68"/>
                                    </a:moveTo>
                                    <a:cubicBezTo>
                                      <a:pt x="314" y="80"/>
                                      <a:pt x="294" y="83"/>
                                      <a:pt x="284" y="75"/>
                                    </a:cubicBezTo>
                                    <a:cubicBezTo>
                                      <a:pt x="276" y="68"/>
                                      <a:pt x="264" y="70"/>
                                      <a:pt x="254" y="71"/>
                                    </a:cubicBezTo>
                                    <a:cubicBezTo>
                                      <a:pt x="248" y="72"/>
                                      <a:pt x="240" y="73"/>
                                      <a:pt x="238" y="71"/>
                                    </a:cubicBezTo>
                                    <a:cubicBezTo>
                                      <a:pt x="237" y="70"/>
                                      <a:pt x="236" y="69"/>
                                      <a:pt x="236" y="67"/>
                                    </a:cubicBezTo>
                                    <a:cubicBezTo>
                                      <a:pt x="236" y="65"/>
                                      <a:pt x="237" y="63"/>
                                      <a:pt x="238" y="61"/>
                                    </a:cubicBezTo>
                                    <a:cubicBezTo>
                                      <a:pt x="243" y="57"/>
                                      <a:pt x="253" y="54"/>
                                      <a:pt x="266" y="53"/>
                                    </a:cubicBezTo>
                                    <a:cubicBezTo>
                                      <a:pt x="278" y="52"/>
                                      <a:pt x="289" y="48"/>
                                      <a:pt x="298" y="40"/>
                                    </a:cubicBezTo>
                                    <a:cubicBezTo>
                                      <a:pt x="311" y="48"/>
                                      <a:pt x="324" y="57"/>
                                      <a:pt x="335" y="68"/>
                                    </a:cubicBezTo>
                                    <a:close/>
                                    <a:moveTo>
                                      <a:pt x="138" y="36"/>
                                    </a:moveTo>
                                    <a:cubicBezTo>
                                      <a:pt x="145" y="37"/>
                                      <a:pt x="151" y="40"/>
                                      <a:pt x="156" y="45"/>
                                    </a:cubicBezTo>
                                    <a:cubicBezTo>
                                      <a:pt x="157" y="55"/>
                                      <a:pt x="169" y="54"/>
                                      <a:pt x="176" y="54"/>
                                    </a:cubicBezTo>
                                    <a:cubicBezTo>
                                      <a:pt x="181" y="53"/>
                                      <a:pt x="186" y="54"/>
                                      <a:pt x="191" y="55"/>
                                    </a:cubicBezTo>
                                    <a:cubicBezTo>
                                      <a:pt x="188" y="58"/>
                                      <a:pt x="185" y="60"/>
                                      <a:pt x="182" y="62"/>
                                    </a:cubicBezTo>
                                    <a:cubicBezTo>
                                      <a:pt x="173" y="67"/>
                                      <a:pt x="162" y="74"/>
                                      <a:pt x="158" y="83"/>
                                    </a:cubicBezTo>
                                    <a:cubicBezTo>
                                      <a:pt x="152" y="95"/>
                                      <a:pt x="124" y="117"/>
                                      <a:pt x="98" y="114"/>
                                    </a:cubicBezTo>
                                    <a:cubicBezTo>
                                      <a:pt x="94" y="114"/>
                                      <a:pt x="83" y="112"/>
                                      <a:pt x="78" y="120"/>
                                    </a:cubicBezTo>
                                    <a:cubicBezTo>
                                      <a:pt x="73" y="129"/>
                                      <a:pt x="80" y="141"/>
                                      <a:pt x="88" y="153"/>
                                    </a:cubicBezTo>
                                    <a:cubicBezTo>
                                      <a:pt x="89" y="154"/>
                                      <a:pt x="89" y="155"/>
                                      <a:pt x="90" y="156"/>
                                    </a:cubicBezTo>
                                    <a:cubicBezTo>
                                      <a:pt x="91" y="159"/>
                                      <a:pt x="91" y="163"/>
                                      <a:pt x="90" y="167"/>
                                    </a:cubicBezTo>
                                    <a:cubicBezTo>
                                      <a:pt x="89" y="167"/>
                                      <a:pt x="89" y="168"/>
                                      <a:pt x="86" y="167"/>
                                    </a:cubicBezTo>
                                    <a:cubicBezTo>
                                      <a:pt x="71" y="161"/>
                                      <a:pt x="59" y="141"/>
                                      <a:pt x="53" y="124"/>
                                    </a:cubicBezTo>
                                    <a:cubicBezTo>
                                      <a:pt x="70" y="85"/>
                                      <a:pt x="100" y="54"/>
                                      <a:pt x="138" y="36"/>
                                    </a:cubicBezTo>
                                    <a:close/>
                                    <a:moveTo>
                                      <a:pt x="213" y="370"/>
                                    </a:moveTo>
                                    <a:cubicBezTo>
                                      <a:pt x="117" y="370"/>
                                      <a:pt x="38" y="291"/>
                                      <a:pt x="38" y="194"/>
                                    </a:cubicBezTo>
                                    <a:cubicBezTo>
                                      <a:pt x="38" y="176"/>
                                      <a:pt x="41" y="158"/>
                                      <a:pt x="47" y="140"/>
                                    </a:cubicBezTo>
                                    <a:cubicBezTo>
                                      <a:pt x="54" y="157"/>
                                      <a:pt x="67" y="172"/>
                                      <a:pt x="82" y="178"/>
                                    </a:cubicBezTo>
                                    <a:cubicBezTo>
                                      <a:pt x="84" y="179"/>
                                      <a:pt x="86" y="179"/>
                                      <a:pt x="88" y="179"/>
                                    </a:cubicBezTo>
                                    <a:cubicBezTo>
                                      <a:pt x="92" y="179"/>
                                      <a:pt x="96" y="178"/>
                                      <a:pt x="99" y="174"/>
                                    </a:cubicBezTo>
                                    <a:cubicBezTo>
                                      <a:pt x="104" y="167"/>
                                      <a:pt x="104" y="157"/>
                                      <a:pt x="100" y="149"/>
                                    </a:cubicBezTo>
                                    <a:cubicBezTo>
                                      <a:pt x="100" y="149"/>
                                      <a:pt x="99" y="147"/>
                                      <a:pt x="98" y="146"/>
                                    </a:cubicBezTo>
                                    <a:cubicBezTo>
                                      <a:pt x="89" y="132"/>
                                      <a:pt x="88" y="128"/>
                                      <a:pt x="89" y="127"/>
                                    </a:cubicBezTo>
                                    <a:cubicBezTo>
                                      <a:pt x="89" y="127"/>
                                      <a:pt x="90" y="125"/>
                                      <a:pt x="97" y="126"/>
                                    </a:cubicBezTo>
                                    <a:cubicBezTo>
                                      <a:pt x="127" y="130"/>
                                      <a:pt x="161" y="106"/>
                                      <a:pt x="169" y="88"/>
                                    </a:cubicBezTo>
                                    <a:cubicBezTo>
                                      <a:pt x="172" y="82"/>
                                      <a:pt x="181" y="77"/>
                                      <a:pt x="188" y="72"/>
                                    </a:cubicBezTo>
                                    <a:cubicBezTo>
                                      <a:pt x="197" y="66"/>
                                      <a:pt x="208" y="60"/>
                                      <a:pt x="203" y="50"/>
                                    </a:cubicBezTo>
                                    <a:cubicBezTo>
                                      <a:pt x="197" y="41"/>
                                      <a:pt x="185" y="41"/>
                                      <a:pt x="176" y="42"/>
                                    </a:cubicBezTo>
                                    <a:cubicBezTo>
                                      <a:pt x="173" y="42"/>
                                      <a:pt x="170" y="42"/>
                                      <a:pt x="168" y="42"/>
                                    </a:cubicBezTo>
                                    <a:cubicBezTo>
                                      <a:pt x="165" y="36"/>
                                      <a:pt x="160" y="31"/>
                                      <a:pt x="154" y="29"/>
                                    </a:cubicBezTo>
                                    <a:cubicBezTo>
                                      <a:pt x="197" y="14"/>
                                      <a:pt x="244" y="16"/>
                                      <a:pt x="285" y="34"/>
                                    </a:cubicBezTo>
                                    <a:cubicBezTo>
                                      <a:pt x="279" y="38"/>
                                      <a:pt x="273" y="41"/>
                                      <a:pt x="265" y="41"/>
                                    </a:cubicBezTo>
                                    <a:cubicBezTo>
                                      <a:pt x="254" y="41"/>
                                      <a:pt x="238" y="44"/>
                                      <a:pt x="229" y="53"/>
                                    </a:cubicBezTo>
                                    <a:cubicBezTo>
                                      <a:pt x="226" y="57"/>
                                      <a:pt x="224" y="62"/>
                                      <a:pt x="224" y="68"/>
                                    </a:cubicBezTo>
                                    <a:cubicBezTo>
                                      <a:pt x="224" y="73"/>
                                      <a:pt x="227" y="77"/>
                                      <a:pt x="230" y="81"/>
                                    </a:cubicBezTo>
                                    <a:cubicBezTo>
                                      <a:pt x="237" y="86"/>
                                      <a:pt x="247" y="85"/>
                                      <a:pt x="256" y="83"/>
                                    </a:cubicBezTo>
                                    <a:cubicBezTo>
                                      <a:pt x="264" y="82"/>
                                      <a:pt x="272" y="81"/>
                                      <a:pt x="276" y="84"/>
                                    </a:cubicBezTo>
                                    <a:cubicBezTo>
                                      <a:pt x="283" y="89"/>
                                      <a:pt x="291" y="92"/>
                                      <a:pt x="299" y="92"/>
                                    </a:cubicBezTo>
                                    <a:cubicBezTo>
                                      <a:pt x="315" y="91"/>
                                      <a:pt x="330" y="86"/>
                                      <a:pt x="344" y="77"/>
                                    </a:cubicBezTo>
                                    <a:cubicBezTo>
                                      <a:pt x="352" y="86"/>
                                      <a:pt x="360" y="96"/>
                                      <a:pt x="366" y="107"/>
                                    </a:cubicBezTo>
                                    <a:cubicBezTo>
                                      <a:pt x="353" y="111"/>
                                      <a:pt x="341" y="114"/>
                                      <a:pt x="328" y="117"/>
                                    </a:cubicBezTo>
                                    <a:cubicBezTo>
                                      <a:pt x="317" y="118"/>
                                      <a:pt x="306" y="111"/>
                                      <a:pt x="296" y="105"/>
                                    </a:cubicBezTo>
                                    <a:cubicBezTo>
                                      <a:pt x="291" y="101"/>
                                      <a:pt x="285" y="98"/>
                                      <a:pt x="279" y="95"/>
                                    </a:cubicBezTo>
                                    <a:cubicBezTo>
                                      <a:pt x="261" y="90"/>
                                      <a:pt x="226" y="98"/>
                                      <a:pt x="220" y="118"/>
                                    </a:cubicBezTo>
                                    <a:cubicBezTo>
                                      <a:pt x="213" y="138"/>
                                      <a:pt x="230" y="161"/>
                                      <a:pt x="245" y="167"/>
                                    </a:cubicBezTo>
                                    <a:cubicBezTo>
                                      <a:pt x="261" y="174"/>
                                      <a:pt x="279" y="176"/>
                                      <a:pt x="296" y="175"/>
                                    </a:cubicBezTo>
                                    <a:cubicBezTo>
                                      <a:pt x="304" y="173"/>
                                      <a:pt x="312" y="178"/>
                                      <a:pt x="314" y="187"/>
                                    </a:cubicBezTo>
                                    <a:cubicBezTo>
                                      <a:pt x="314" y="190"/>
                                      <a:pt x="314" y="193"/>
                                      <a:pt x="312" y="196"/>
                                    </a:cubicBezTo>
                                    <a:cubicBezTo>
                                      <a:pt x="308" y="209"/>
                                      <a:pt x="317" y="227"/>
                                      <a:pt x="325" y="241"/>
                                    </a:cubicBezTo>
                                    <a:cubicBezTo>
                                      <a:pt x="326" y="245"/>
                                      <a:pt x="328" y="248"/>
                                      <a:pt x="329" y="250"/>
                                    </a:cubicBezTo>
                                    <a:cubicBezTo>
                                      <a:pt x="330" y="254"/>
                                      <a:pt x="332" y="258"/>
                                      <a:pt x="333" y="261"/>
                                    </a:cubicBezTo>
                                    <a:cubicBezTo>
                                      <a:pt x="336" y="273"/>
                                      <a:pt x="340" y="289"/>
                                      <a:pt x="353" y="301"/>
                                    </a:cubicBezTo>
                                    <a:cubicBezTo>
                                      <a:pt x="320" y="344"/>
                                      <a:pt x="268" y="370"/>
                                      <a:pt x="213" y="370"/>
                                    </a:cubicBezTo>
                                    <a:close/>
                                    <a:moveTo>
                                      <a:pt x="207" y="220"/>
                                    </a:moveTo>
                                    <a:cubicBezTo>
                                      <a:pt x="203" y="220"/>
                                      <a:pt x="203" y="220"/>
                                      <a:pt x="203" y="220"/>
                                    </a:cubicBezTo>
                                    <a:cubicBezTo>
                                      <a:pt x="198" y="219"/>
                                      <a:pt x="194" y="216"/>
                                      <a:pt x="192" y="212"/>
                                    </a:cubicBezTo>
                                    <a:cubicBezTo>
                                      <a:pt x="187" y="204"/>
                                      <a:pt x="187" y="204"/>
                                      <a:pt x="187" y="204"/>
                                    </a:cubicBezTo>
                                    <a:cubicBezTo>
                                      <a:pt x="182" y="194"/>
                                      <a:pt x="171" y="188"/>
                                      <a:pt x="160" y="188"/>
                                    </a:cubicBezTo>
                                    <a:cubicBezTo>
                                      <a:pt x="151" y="188"/>
                                      <a:pt x="151" y="188"/>
                                      <a:pt x="151" y="188"/>
                                    </a:cubicBezTo>
                                    <a:cubicBezTo>
                                      <a:pt x="145" y="188"/>
                                      <a:pt x="140" y="184"/>
                                      <a:pt x="138" y="179"/>
                                    </a:cubicBezTo>
                                    <a:cubicBezTo>
                                      <a:pt x="135" y="174"/>
                                      <a:pt x="130" y="171"/>
                                      <a:pt x="124" y="172"/>
                                    </a:cubicBezTo>
                                    <a:cubicBezTo>
                                      <a:pt x="124" y="172"/>
                                      <a:pt x="124" y="172"/>
                                      <a:pt x="124" y="172"/>
                                    </a:cubicBezTo>
                                    <a:cubicBezTo>
                                      <a:pt x="117" y="173"/>
                                      <a:pt x="110" y="177"/>
                                      <a:pt x="105" y="183"/>
                                    </a:cubicBezTo>
                                    <a:cubicBezTo>
                                      <a:pt x="99" y="189"/>
                                      <a:pt x="88" y="203"/>
                                      <a:pt x="88" y="213"/>
                                    </a:cubicBezTo>
                                    <a:cubicBezTo>
                                      <a:pt x="88" y="233"/>
                                      <a:pt x="123" y="250"/>
                                      <a:pt x="128" y="252"/>
                                    </a:cubicBezTo>
                                    <a:cubicBezTo>
                                      <a:pt x="129" y="253"/>
                                      <a:pt x="132" y="261"/>
                                      <a:pt x="129" y="292"/>
                                    </a:cubicBezTo>
                                    <a:cubicBezTo>
                                      <a:pt x="128" y="302"/>
                                      <a:pt x="127" y="327"/>
                                      <a:pt x="139" y="344"/>
                                    </a:cubicBezTo>
                                    <a:cubicBezTo>
                                      <a:pt x="142" y="348"/>
                                      <a:pt x="146" y="351"/>
                                      <a:pt x="152" y="351"/>
                                    </a:cubicBezTo>
                                    <a:cubicBezTo>
                                      <a:pt x="154" y="351"/>
                                      <a:pt x="156" y="350"/>
                                      <a:pt x="158" y="350"/>
                                    </a:cubicBezTo>
                                    <a:cubicBezTo>
                                      <a:pt x="166" y="347"/>
                                      <a:pt x="171" y="340"/>
                                      <a:pt x="171" y="332"/>
                                    </a:cubicBezTo>
                                    <a:cubicBezTo>
                                      <a:pt x="172" y="321"/>
                                      <a:pt x="173" y="313"/>
                                      <a:pt x="173" y="310"/>
                                    </a:cubicBezTo>
                                    <a:cubicBezTo>
                                      <a:pt x="173" y="301"/>
                                      <a:pt x="179" y="292"/>
                                      <a:pt x="192" y="284"/>
                                    </a:cubicBezTo>
                                    <a:cubicBezTo>
                                      <a:pt x="206" y="275"/>
                                      <a:pt x="214" y="254"/>
                                      <a:pt x="219" y="238"/>
                                    </a:cubicBezTo>
                                    <a:cubicBezTo>
                                      <a:pt x="221" y="231"/>
                                      <a:pt x="217" y="223"/>
                                      <a:pt x="210" y="221"/>
                                    </a:cubicBezTo>
                                    <a:cubicBezTo>
                                      <a:pt x="209" y="221"/>
                                      <a:pt x="208" y="220"/>
                                      <a:pt x="207" y="220"/>
                                    </a:cubicBezTo>
                                    <a:close/>
                                    <a:moveTo>
                                      <a:pt x="207" y="235"/>
                                    </a:moveTo>
                                    <a:cubicBezTo>
                                      <a:pt x="201" y="254"/>
                                      <a:pt x="193" y="268"/>
                                      <a:pt x="185" y="273"/>
                                    </a:cubicBezTo>
                                    <a:cubicBezTo>
                                      <a:pt x="169" y="284"/>
                                      <a:pt x="160" y="296"/>
                                      <a:pt x="161" y="310"/>
                                    </a:cubicBezTo>
                                    <a:cubicBezTo>
                                      <a:pt x="161" y="313"/>
                                      <a:pt x="160" y="320"/>
                                      <a:pt x="159" y="331"/>
                                    </a:cubicBezTo>
                                    <a:cubicBezTo>
                                      <a:pt x="158" y="337"/>
                                      <a:pt x="157" y="338"/>
                                      <a:pt x="155" y="338"/>
                                    </a:cubicBezTo>
                                    <a:cubicBezTo>
                                      <a:pt x="151" y="339"/>
                                      <a:pt x="150" y="339"/>
                                      <a:pt x="149" y="337"/>
                                    </a:cubicBezTo>
                                    <a:cubicBezTo>
                                      <a:pt x="142" y="327"/>
                                      <a:pt x="139" y="311"/>
                                      <a:pt x="141" y="293"/>
                                    </a:cubicBezTo>
                                    <a:cubicBezTo>
                                      <a:pt x="144" y="254"/>
                                      <a:pt x="140" y="244"/>
                                      <a:pt x="133" y="241"/>
                                    </a:cubicBezTo>
                                    <a:cubicBezTo>
                                      <a:pt x="125" y="238"/>
                                      <a:pt x="100" y="223"/>
                                      <a:pt x="100" y="212"/>
                                    </a:cubicBezTo>
                                    <a:cubicBezTo>
                                      <a:pt x="103" y="204"/>
                                      <a:pt x="107" y="197"/>
                                      <a:pt x="113" y="192"/>
                                    </a:cubicBezTo>
                                    <a:cubicBezTo>
                                      <a:pt x="120" y="185"/>
                                      <a:pt x="123" y="184"/>
                                      <a:pt x="124" y="184"/>
                                    </a:cubicBezTo>
                                    <a:cubicBezTo>
                                      <a:pt x="125" y="184"/>
                                      <a:pt x="127" y="184"/>
                                      <a:pt x="127" y="185"/>
                                    </a:cubicBezTo>
                                    <a:cubicBezTo>
                                      <a:pt x="132" y="194"/>
                                      <a:pt x="141" y="200"/>
                                      <a:pt x="151" y="200"/>
                                    </a:cubicBezTo>
                                    <a:cubicBezTo>
                                      <a:pt x="160" y="200"/>
                                      <a:pt x="160" y="200"/>
                                      <a:pt x="160" y="200"/>
                                    </a:cubicBezTo>
                                    <a:cubicBezTo>
                                      <a:pt x="167" y="200"/>
                                      <a:pt x="173" y="204"/>
                                      <a:pt x="176" y="209"/>
                                    </a:cubicBezTo>
                                    <a:cubicBezTo>
                                      <a:pt x="181" y="218"/>
                                      <a:pt x="181" y="218"/>
                                      <a:pt x="181" y="218"/>
                                    </a:cubicBezTo>
                                    <a:cubicBezTo>
                                      <a:pt x="185" y="226"/>
                                      <a:pt x="193" y="231"/>
                                      <a:pt x="202" y="232"/>
                                    </a:cubicBezTo>
                                    <a:cubicBezTo>
                                      <a:pt x="206" y="232"/>
                                      <a:pt x="206" y="232"/>
                                      <a:pt x="206" y="232"/>
                                    </a:cubicBezTo>
                                    <a:cubicBezTo>
                                      <a:pt x="206" y="232"/>
                                      <a:pt x="207" y="233"/>
                                      <a:pt x="207" y="233"/>
                                    </a:cubicBezTo>
                                    <a:cubicBezTo>
                                      <a:pt x="207" y="234"/>
                                      <a:pt x="207" y="234"/>
                                      <a:pt x="207" y="235"/>
                                    </a:cubicBezTo>
                                    <a:close/>
                                  </a:path>
                                </a:pathLst>
                              </a:custGeom>
                              <a:solidFill>
                                <a:schemeClr val="tx1"/>
                              </a:solidFill>
                              <a:ln>
                                <a:noFill/>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EAD261" id="Freeform: Shape 36" o:spid="_x0000_s1026" alt="&quot;&quot;" style="position:absolute;margin-left:43.3pt;margin-top:9.25pt;width:60.95pt;height:5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" path="m367,302v40,-56,45,-131,13,-193c380,109,380,109,380,109v,,,,,c372,93,362,79,350,66v,,,,,c349,65,349,65,348,64,334,50,318,37,300,28v-1,,-1,-1,-1,-1c248,1,188,,136,24v-1,,-1,,-1,c93,44,60,78,41,120v,,,1,,1c,216,45,326,140,367v80,34,174,8,226,-63c366,303,366,303,366,303v,,,-1,1,-1xm360,291v-9,-9,-13,-22,-16,-33c343,254,342,249,340,245v-1,-3,-3,-6,-5,-9c330,225,321,208,324,200v6,-13,,-29,-14,-35c305,163,300,162,295,163v-15,1,-31,-1,-46,-7c239,152,227,135,231,122v5,-13,32,-19,44,-15c280,109,285,112,290,115v11,7,25,16,40,14c344,126,358,123,372,118v26,56,22,121,-12,173xm335,68v-21,12,-41,15,-51,7c276,68,264,70,254,71v-6,1,-14,2,-16,c237,70,236,69,236,67v,-2,1,-4,2,-6c243,57,253,54,266,53v12,-1,23,-5,32,-13c311,48,324,57,335,68xm138,36v7,1,13,4,18,9c157,55,169,54,176,54v5,-1,10,,15,1c188,58,185,60,182,62v-9,5,-20,12,-24,21c152,95,124,117,98,114v-4,,-15,-2,-20,6c73,129,80,141,88,153v1,1,1,2,2,3c91,159,91,163,90,167v-1,,-1,1,-4,c71,161,59,141,53,124,70,85,100,54,138,36xm213,370c117,370,38,291,38,194v,-18,3,-36,9,-54c54,157,67,172,82,178v2,1,4,1,6,1c92,179,96,178,99,174v5,-7,5,-17,1,-25c100,149,99,147,98,146,89,132,88,128,89,127v,,1,-2,8,-1c127,130,161,106,169,88v3,-6,12,-11,19,-16c197,66,208,60,203,50v-6,-9,-18,-9,-27,-8c173,42,170,42,168,42,165,36,160,31,154,29v43,-15,90,-13,131,5c279,38,273,41,265,41v-11,,-27,3,-36,12c226,57,224,62,224,68v,5,3,9,6,13c237,86,247,85,256,83v8,-1,16,-2,20,1c283,89,291,92,299,92v16,-1,31,-6,45,-15c352,86,360,96,366,107v-13,4,-25,7,-38,10c317,118,306,111,296,105v-5,-4,-11,-7,-17,-10c261,90,226,98,220,118v-7,20,10,43,25,49c261,174,279,176,296,175v8,-2,16,3,18,12c314,190,314,193,312,196v-4,13,5,31,13,45c326,245,328,248,329,250v1,4,3,8,4,11c336,273,340,289,353,301v-33,43,-85,69,-140,69xm207,220v-4,,-4,,-4,c198,219,194,216,192,212v-5,-8,-5,-8,-5,-8c182,194,171,188,160,188v-9,,-9,,-9,c145,188,140,184,138,179v-3,-5,-8,-8,-14,-7c124,172,124,172,124,172v-7,1,-14,5,-19,11c99,189,88,203,88,213v,20,35,37,40,39c129,253,132,261,129,292v-1,10,-2,35,10,52c142,348,146,351,152,351v2,,4,-1,6,-1c166,347,171,340,171,332v1,-11,2,-19,2,-22c173,301,179,292,192,284v14,-9,22,-30,27,-46c221,231,217,223,210,221v-1,,-2,-1,-3,-1xm207,235v-6,19,-14,33,-22,38c169,284,160,296,161,310v,3,-1,10,-2,21c158,337,157,338,155,338v-4,1,-5,1,-6,-1c142,327,139,311,141,293v3,-39,-1,-49,-8,-52c125,238,100,223,100,212v3,-8,7,-15,13,-20c120,185,123,184,124,184v1,,3,,3,1c132,194,141,200,151,200v9,,9,,9,c167,200,173,204,176,209v5,9,5,9,5,9c185,226,193,231,202,232v4,,4,,4,c206,232,207,233,207,233v,1,,1,,2xe" fillcolor="black [3213]" stroked="f" strokeweight="2pt">
                      <v:path arrowok="t" o:connecttype="custom" o:connectlocs="713883,205496;657524,124429;561714,50903;77024,226234;687583,573127;676311,548618;629345,444928;554199,307302;516626,201726;698854,222464;533534,141397;443359,126314;559835,75411;293068,84838;341913,116888;146534,226234;169078,314843;259252,67870;88296,263940;185985,328040;167199,239431;353184,135741;315612,79182;497840,77297;432087,152708;561714,173446;616194,220579;413301,222464;589893,352549;618073,471322;400150,697556;360699,399681;283675,354434;232951,324269;240466,475092;285553,661736;325005,584439;394515,416648;347549,514683;291189,637227;249859,454354;232951,346893;300583,377057;379485,437387;388879,443042" o:connectangles="0,0,0,0,0,0,0,0,0,0,0,0,0,0,0,0,0,0,0,0,0,0,0,0,0,0,0,0,0,0,0,0,0,0,0,0,0,0,0,0,0,0,0,0,0"/>
                      <o:lock v:ext="edit" verticies="t"/>
                      <w10:wrap type="square"/>
                    </v:shape>
                  </w:pict>
                </mc:Fallback>
              </mc:AlternateContent>
            </w:r>
          </w:p>
        </w:tc>
        <w:tc>
          <w:tcPr>
            <w:tcW w:w="3261" w:type="dxa"/>
          </w:tcPr>
          <w:p w14:paraId="00501144" w14:textId="35BAEDA7" w:rsidR="000C2DFC" w:rsidRPr="00AF02F6" w:rsidRDefault="00B23804" w:rsidP="003D512E">
            <w:pPr>
              <w:spacing w:before="0"/>
              <w:jc w:val="center"/>
              <w:rPr>
                <w:rFonts w:asciiTheme="minorHAnsi" w:hAnsiTheme="minorHAnsi" w:cstheme="minorBidi"/>
                <w:b/>
              </w:rPr>
            </w:pPr>
            <w:r>
              <w:rPr>
                <w:noProof/>
              </w:rPr>
              <w:drawing>
                <wp:inline distT="0" distB="0" distL="0" distR="0" wp14:anchorId="5F3BFA1B" wp14:editId="6B185514">
                  <wp:extent cx="914400" cy="9144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r w:rsidR="000C2DFC" w14:paraId="50D26329" w14:textId="77777777" w:rsidTr="00245FCC">
        <w:trPr>
          <w:trHeight w:val="849"/>
          <w:jc w:val="center"/>
        </w:trPr>
        <w:tc>
          <w:tcPr>
            <w:tcW w:w="3261" w:type="dxa"/>
          </w:tcPr>
          <w:p w14:paraId="63C65673" w14:textId="514C6319" w:rsidR="000C2DFC" w:rsidRPr="00AF02F6" w:rsidRDefault="00245FCC" w:rsidP="003D512E">
            <w:pPr>
              <w:spacing w:before="0"/>
              <w:jc w:val="center"/>
              <w:rPr>
                <w:rFonts w:asciiTheme="minorHAnsi" w:hAnsiTheme="minorHAnsi" w:cstheme="minorBidi"/>
                <w:b/>
              </w:rPr>
            </w:pPr>
            <w:r>
              <w:rPr>
                <w:rFonts w:asciiTheme="minorHAnsi" w:hAnsiTheme="minorHAnsi" w:cstheme="minorBidi"/>
                <w:b/>
              </w:rPr>
              <w:t>T</w:t>
            </w:r>
            <w:r w:rsidR="000968A5" w:rsidRPr="5ECECF06">
              <w:rPr>
                <w:rFonts w:asciiTheme="minorHAnsi" w:hAnsiTheme="minorHAnsi" w:cstheme="minorBidi"/>
                <w:b/>
              </w:rPr>
              <w:t xml:space="preserve">argeted as </w:t>
            </w:r>
            <w:r>
              <w:rPr>
                <w:rFonts w:asciiTheme="minorHAnsi" w:hAnsiTheme="minorHAnsi" w:cstheme="minorBidi"/>
                <w:b/>
              </w:rPr>
              <w:t xml:space="preserve">ACCC must review </w:t>
            </w:r>
            <w:r w:rsidR="000968A5" w:rsidRPr="5ECECF06">
              <w:rPr>
                <w:rFonts w:asciiTheme="minorHAnsi" w:hAnsiTheme="minorHAnsi" w:cstheme="minorBidi"/>
                <w:b/>
              </w:rPr>
              <w:t xml:space="preserve">higher risk mergers </w:t>
            </w:r>
            <w:r>
              <w:rPr>
                <w:rFonts w:asciiTheme="minorHAnsi" w:hAnsiTheme="minorHAnsi" w:cstheme="minorBidi"/>
                <w:b/>
              </w:rPr>
              <w:t>in advance</w:t>
            </w:r>
          </w:p>
        </w:tc>
        <w:tc>
          <w:tcPr>
            <w:tcW w:w="3261" w:type="dxa"/>
          </w:tcPr>
          <w:p w14:paraId="4AEF6B71" w14:textId="572906B3" w:rsidR="000C2DFC" w:rsidRPr="00AF02F6" w:rsidRDefault="00A32F76" w:rsidP="003D512E">
            <w:pPr>
              <w:spacing w:before="0"/>
              <w:jc w:val="center"/>
              <w:rPr>
                <w:rFonts w:asciiTheme="minorHAnsi" w:hAnsiTheme="minorHAnsi" w:cstheme="minorBidi"/>
                <w:b/>
              </w:rPr>
            </w:pPr>
            <w:r>
              <w:rPr>
                <w:rFonts w:asciiTheme="minorHAnsi" w:hAnsiTheme="minorHAnsi" w:cstheme="minorBidi"/>
                <w:b/>
              </w:rPr>
              <w:t>Aligned with</w:t>
            </w:r>
            <w:r w:rsidR="00BD328F">
              <w:rPr>
                <w:rFonts w:asciiTheme="minorHAnsi" w:hAnsiTheme="minorHAnsi" w:cstheme="minorBidi"/>
                <w:b/>
              </w:rPr>
              <w:t xml:space="preserve"> </w:t>
            </w:r>
            <w:r w:rsidR="008D792C" w:rsidRPr="5D88671D">
              <w:rPr>
                <w:rFonts w:asciiTheme="minorHAnsi" w:hAnsiTheme="minorHAnsi" w:cstheme="minorBidi"/>
                <w:b/>
              </w:rPr>
              <w:t>international best practice</w:t>
            </w:r>
            <w:r w:rsidR="00EA26F0">
              <w:rPr>
                <w:rFonts w:asciiTheme="minorHAnsi" w:hAnsiTheme="minorHAnsi" w:cstheme="minorBidi"/>
                <w:b/>
              </w:rPr>
              <w:t xml:space="preserve"> </w:t>
            </w:r>
          </w:p>
        </w:tc>
        <w:tc>
          <w:tcPr>
            <w:tcW w:w="3261" w:type="dxa"/>
          </w:tcPr>
          <w:p w14:paraId="5DF9BCF1" w14:textId="4487F633" w:rsidR="00D9268A" w:rsidRPr="00AF02F6" w:rsidRDefault="00380259" w:rsidP="00111A62">
            <w:pPr>
              <w:spacing w:before="0"/>
              <w:jc w:val="center"/>
              <w:rPr>
                <w:rFonts w:asciiTheme="minorHAnsi" w:hAnsiTheme="minorHAnsi" w:cstheme="minorBidi"/>
                <w:b/>
              </w:rPr>
            </w:pPr>
            <w:r w:rsidRPr="60E54AAC">
              <w:rPr>
                <w:rFonts w:asciiTheme="minorHAnsi" w:hAnsiTheme="minorHAnsi" w:cstheme="minorBidi"/>
                <w:b/>
              </w:rPr>
              <w:t>More accessible</w:t>
            </w:r>
            <w:r w:rsidR="00066E19">
              <w:rPr>
                <w:rFonts w:asciiTheme="minorHAnsi" w:hAnsiTheme="minorHAnsi" w:cstheme="minorBidi"/>
                <w:b/>
              </w:rPr>
              <w:t xml:space="preserve"> and transparent</w:t>
            </w:r>
            <w:r w:rsidR="00A05EFB" w:rsidRPr="60E54AAC">
              <w:rPr>
                <w:rFonts w:asciiTheme="minorHAnsi" w:hAnsiTheme="minorHAnsi" w:cstheme="minorBidi"/>
                <w:b/>
              </w:rPr>
              <w:t xml:space="preserve"> </w:t>
            </w:r>
            <w:r w:rsidRPr="60E54AAC">
              <w:rPr>
                <w:rFonts w:asciiTheme="minorHAnsi" w:hAnsiTheme="minorHAnsi" w:cstheme="minorBidi"/>
                <w:b/>
              </w:rPr>
              <w:t xml:space="preserve">for consumers and </w:t>
            </w:r>
            <w:r w:rsidR="00D87BAA" w:rsidRPr="60E54AAC">
              <w:rPr>
                <w:rFonts w:asciiTheme="minorHAnsi" w:hAnsiTheme="minorHAnsi" w:cstheme="minorBidi"/>
                <w:b/>
              </w:rPr>
              <w:t>business</w:t>
            </w:r>
            <w:r w:rsidR="006575EB" w:rsidRPr="60E54AAC">
              <w:rPr>
                <w:rFonts w:asciiTheme="minorHAnsi" w:hAnsiTheme="minorHAnsi" w:cstheme="minorBidi"/>
                <w:b/>
              </w:rPr>
              <w:t xml:space="preserve"> </w:t>
            </w:r>
          </w:p>
        </w:tc>
      </w:tr>
    </w:tbl>
    <w:p w14:paraId="6870309B" w14:textId="4DCE086D" w:rsidR="006578B9" w:rsidRDefault="720FFB0D" w:rsidP="006578B9">
      <w:bookmarkStart w:id="11" w:name="_Toc156141229"/>
      <w:bookmarkStart w:id="12" w:name="_Toc156207571"/>
      <w:bookmarkStart w:id="13" w:name="_Toc155866035"/>
      <w:r>
        <w:t xml:space="preserve">Treasury </w:t>
      </w:r>
      <w:r w:rsidR="00426D76">
        <w:t>will</w:t>
      </w:r>
      <w:r>
        <w:t xml:space="preserve"> undertake </w:t>
      </w:r>
      <w:r w:rsidR="4D314EA5">
        <w:t>a</w:t>
      </w:r>
      <w:r>
        <w:t xml:space="preserve"> statutory review </w:t>
      </w:r>
      <w:r w:rsidR="5A638F66">
        <w:t>to</w:t>
      </w:r>
      <w:r>
        <w:t xml:space="preserve"> </w:t>
      </w:r>
      <w:r w:rsidR="5A638F66">
        <w:t>evaluate the</w:t>
      </w:r>
      <w:r w:rsidR="45C76798">
        <w:t xml:space="preserve"> functioning of the</w:t>
      </w:r>
      <w:r w:rsidR="5A638F66">
        <w:t xml:space="preserve"> system</w:t>
      </w:r>
      <w:r>
        <w:t xml:space="preserve">, </w:t>
      </w:r>
      <w:r w:rsidR="00E6392B">
        <w:t xml:space="preserve">three </w:t>
      </w:r>
      <w:r>
        <w:t xml:space="preserve">years after commencement. </w:t>
      </w:r>
      <w:r w:rsidR="7FBE66EF">
        <w:t>This will be</w:t>
      </w:r>
      <w:r>
        <w:t xml:space="preserve"> supported by </w:t>
      </w:r>
      <w:r w:rsidR="009017B9">
        <w:t>annual ACCC reporting on merger</w:t>
      </w:r>
      <w:r w:rsidR="00435689">
        <w:t xml:space="preserve"> activity</w:t>
      </w:r>
      <w:r w:rsidR="009017B9">
        <w:t xml:space="preserve">, </w:t>
      </w:r>
      <w:r>
        <w:t>ex</w:t>
      </w:r>
      <w:r w:rsidR="00A23227">
        <w:t>-</w:t>
      </w:r>
      <w:r>
        <w:t>post merger analysis and data analytics</w:t>
      </w:r>
      <w:r w:rsidR="12510512">
        <w:t xml:space="preserve">. </w:t>
      </w:r>
      <w:r w:rsidR="00426D76">
        <w:t>E</w:t>
      </w:r>
      <w:r>
        <w:t>x</w:t>
      </w:r>
      <w:r w:rsidR="00A23227">
        <w:t>-</w:t>
      </w:r>
      <w:r>
        <w:t>post merger analysis will permit insights into the impacts of mergers, helping to refine and improve merger assessments and decision-making</w:t>
      </w:r>
      <w:r w:rsidR="5A638F66">
        <w:t xml:space="preserve"> by the ACCC</w:t>
      </w:r>
      <w:r>
        <w:t>.</w:t>
      </w:r>
      <w:r w:rsidR="0054B8B5">
        <w:t xml:space="preserv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501537" w14:paraId="4FA7AF9D" w14:textId="77777777">
        <w:trPr>
          <w:trHeight w:val="778"/>
          <w:jc w:val="center"/>
        </w:trPr>
        <w:tc>
          <w:tcPr>
            <w:tcW w:w="1418" w:type="dxa"/>
            <w:shd w:val="clear" w:color="auto" w:fill="6B83A7" w:themeFill="accent1" w:themeFillTint="99"/>
          </w:tcPr>
          <w:p w14:paraId="203C038B" w14:textId="77777777" w:rsidR="00501537" w:rsidRDefault="00501537">
            <w:pPr>
              <w:jc w:val="center"/>
            </w:pPr>
            <w:r>
              <w:rPr>
                <w:noProof/>
              </w:rPr>
              <w:drawing>
                <wp:inline distT="0" distB="0" distL="0" distR="0" wp14:anchorId="6F08F598" wp14:editId="0C9049FE">
                  <wp:extent cx="592853" cy="592853"/>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3960BFB7" w14:textId="026D16F6" w:rsidR="00501537" w:rsidRDefault="00501537" w:rsidP="0095067A">
            <w:pPr>
              <w:pStyle w:val="BoxHeading"/>
            </w:pPr>
            <w:r w:rsidRPr="00741E48">
              <w:t xml:space="preserve">Treasury </w:t>
            </w:r>
            <w:r w:rsidR="00CF258D">
              <w:t>will</w:t>
            </w:r>
            <w:r w:rsidRPr="00741E48">
              <w:t xml:space="preserve"> consult </w:t>
            </w:r>
            <w:r>
              <w:t xml:space="preserve">on exposure draft legislation </w:t>
            </w:r>
            <w:r w:rsidR="002223F9">
              <w:t>to implement the reforms in 2024</w:t>
            </w:r>
            <w:r w:rsidRPr="00741E48">
              <w:t>.</w:t>
            </w:r>
          </w:p>
        </w:tc>
      </w:tr>
    </w:tbl>
    <w:p w14:paraId="67238BBF" w14:textId="77777777" w:rsidR="00E92ACC" w:rsidRDefault="00E92ACC" w:rsidP="00262D86">
      <w:pPr>
        <w:pStyle w:val="Heading2"/>
      </w:pPr>
    </w:p>
    <w:p w14:paraId="0F86B087" w14:textId="77777777" w:rsidR="00E92ACC" w:rsidRDefault="00E92ACC">
      <w:pPr>
        <w:spacing w:before="0" w:after="160" w:line="259" w:lineRule="auto"/>
        <w:rPr>
          <w:rFonts w:ascii="Calibri" w:hAnsi="Calibri" w:cs="Arial"/>
          <w:iCs/>
          <w:color w:val="2C384A" w:themeColor="accent1"/>
          <w:kern w:val="32"/>
          <w:sz w:val="36"/>
          <w:szCs w:val="28"/>
        </w:rPr>
      </w:pPr>
      <w:r>
        <w:br w:type="page"/>
      </w:r>
    </w:p>
    <w:p w14:paraId="468AF43E" w14:textId="59B4FE25" w:rsidR="00457641" w:rsidRDefault="74B127C7" w:rsidP="00262D86">
      <w:pPr>
        <w:pStyle w:val="Heading2"/>
      </w:pPr>
      <w:bookmarkStart w:id="14" w:name="_Toc163550083"/>
      <w:r>
        <w:lastRenderedPageBreak/>
        <w:t>A</w:t>
      </w:r>
      <w:r w:rsidR="00C41986">
        <w:t xml:space="preserve"> stronger, expert a</w:t>
      </w:r>
      <w:r>
        <w:t>dministrative decision-maker</w:t>
      </w:r>
      <w:bookmarkEnd w:id="11"/>
      <w:bookmarkEnd w:id="12"/>
      <w:bookmarkEnd w:id="14"/>
    </w:p>
    <w:p w14:paraId="5BC8D88C" w14:textId="286970EC" w:rsidR="00457641" w:rsidRDefault="00457641" w:rsidP="00457641">
      <w:r>
        <w:t>The ACCC will be the</w:t>
      </w:r>
      <w:r w:rsidR="00C96FD3">
        <w:t xml:space="preserve"> expert</w:t>
      </w:r>
      <w:r>
        <w:t xml:space="preserve"> first instance administrative decision-maker</w:t>
      </w:r>
      <w:r w:rsidR="00355CE8">
        <w:t xml:space="preserve">. </w:t>
      </w:r>
      <w:r w:rsidR="00E11256">
        <w:t xml:space="preserve">The ACCC will determine whether </w:t>
      </w:r>
      <w:r w:rsidR="004E327B">
        <w:t xml:space="preserve">a </w:t>
      </w:r>
      <w:r w:rsidR="00E11256">
        <w:t xml:space="preserve">merger may </w:t>
      </w:r>
      <w:r w:rsidR="00FA1B0B">
        <w:t xml:space="preserve">or may not </w:t>
      </w:r>
      <w:r w:rsidR="00E11256">
        <w:t xml:space="preserve">be put into effect, </w:t>
      </w:r>
      <w:r w:rsidDel="00355CE8">
        <w:t xml:space="preserve">with </w:t>
      </w:r>
      <w:r w:rsidR="00E11256">
        <w:t>or without conditions. In doing so, the ACCC</w:t>
      </w:r>
      <w:r w:rsidR="00355CE8">
        <w:t xml:space="preserve"> will</w:t>
      </w:r>
      <w:r w:rsidDel="00355CE8">
        <w:t xml:space="preserve"> assess </w:t>
      </w:r>
      <w:r>
        <w:t>whether a merger would have the effect, or be likely to have the effect, of substantially lessening competition</w:t>
      </w:r>
      <w:r w:rsidR="008070DB">
        <w:t>,</w:t>
      </w:r>
      <w:r>
        <w:t xml:space="preserve"> </w:t>
      </w:r>
      <w:r w:rsidR="00641623">
        <w:rPr>
          <w:rFonts w:eastAsia="Calibri Light"/>
        </w:rPr>
        <w:t>which includes</w:t>
      </w:r>
      <w:r w:rsidR="00C77312">
        <w:rPr>
          <w:rFonts w:eastAsia="Calibri Light"/>
        </w:rPr>
        <w:t xml:space="preserve"> if it </w:t>
      </w:r>
      <w:r w:rsidR="00C77312">
        <w:t>creates, strengthens or entrenches</w:t>
      </w:r>
      <w:r w:rsidR="00C77312" w:rsidRPr="009546AA">
        <w:rPr>
          <w:rFonts w:eastAsia="Calibri Light"/>
        </w:rPr>
        <w:t xml:space="preserve"> a position of substantial market powe</w:t>
      </w:r>
      <w:r w:rsidR="00C77312">
        <w:rPr>
          <w:rFonts w:eastAsia="Calibri Light"/>
        </w:rPr>
        <w:t>r</w:t>
      </w:r>
      <w:r>
        <w:t xml:space="preserve"> in any market</w:t>
      </w:r>
      <w:r w:rsidR="00661B63">
        <w:t>.</w:t>
      </w:r>
    </w:p>
    <w:p w14:paraId="39D5C466" w14:textId="7B89ADE3" w:rsidR="003125E1" w:rsidRDefault="00884817" w:rsidP="00D1506D">
      <w:r>
        <w:t>The shift to administrative</w:t>
      </w:r>
      <w:r w:rsidR="53DADFAD">
        <w:t xml:space="preserve"> decision</w:t>
      </w:r>
      <w:r w:rsidR="00AB7EB4">
        <w:t>-</w:t>
      </w:r>
      <w:r w:rsidR="53DADFAD">
        <w:t>making</w:t>
      </w:r>
      <w:r>
        <w:t xml:space="preserve">, rather than judicial </w:t>
      </w:r>
      <w:r w:rsidR="7205BFAE">
        <w:t>enforcement</w:t>
      </w:r>
      <w:r>
        <w:t xml:space="preserve">, </w:t>
      </w:r>
      <w:r w:rsidR="00F10D75">
        <w:t>will ensure</w:t>
      </w:r>
      <w:r w:rsidR="0050214A">
        <w:t xml:space="preserve"> the </w:t>
      </w:r>
      <w:r w:rsidR="006C6626">
        <w:t xml:space="preserve">ACCC is </w:t>
      </w:r>
      <w:r w:rsidR="00D237E7">
        <w:t xml:space="preserve">better placed to protect </w:t>
      </w:r>
      <w:r w:rsidR="008B5B52">
        <w:t>consumers and competition in our economy</w:t>
      </w:r>
      <w:r w:rsidR="00573697">
        <w:t xml:space="preserve">. </w:t>
      </w:r>
      <w:r w:rsidR="0047499B">
        <w:t>As an administrative decision</w:t>
      </w:r>
      <w:r w:rsidR="00B4058B">
        <w:noBreakHyphen/>
      </w:r>
      <w:r w:rsidR="0047499B">
        <w:t xml:space="preserve">maker the ACCC </w:t>
      </w:r>
      <w:r w:rsidR="00636B3E">
        <w:t xml:space="preserve">will </w:t>
      </w:r>
      <w:r w:rsidR="6E86CEEF">
        <w:t>gather all relevant information and evidence</w:t>
      </w:r>
      <w:r w:rsidR="3713E580">
        <w:t>, analyse this material</w:t>
      </w:r>
      <w:r w:rsidR="6E86CEEF">
        <w:t xml:space="preserve">, </w:t>
      </w:r>
      <w:r w:rsidR="0047499B">
        <w:t xml:space="preserve">weigh up </w:t>
      </w:r>
      <w:r w:rsidR="787FB7AD">
        <w:t xml:space="preserve">relevant considerations </w:t>
      </w:r>
      <w:r w:rsidR="0047499B">
        <w:t>and set out objective</w:t>
      </w:r>
      <w:r w:rsidR="00636B3E">
        <w:t>,</w:t>
      </w:r>
      <w:r w:rsidR="4AC355A6">
        <w:t xml:space="preserve"> factual findings and </w:t>
      </w:r>
      <w:r w:rsidR="189A8008">
        <w:t xml:space="preserve">other considerations </w:t>
      </w:r>
      <w:r w:rsidR="63425A7F">
        <w:t>in its reasons for</w:t>
      </w:r>
      <w:r w:rsidR="00AA5895">
        <w:t xml:space="preserve"> </w:t>
      </w:r>
      <w:r w:rsidR="0047499B">
        <w:t>decision. This involves engaging with the merger parties and consulting widely with third parties</w:t>
      </w:r>
      <w:r w:rsidR="00F40E3B">
        <w:t xml:space="preserve"> – consumers, suppliers, competitors –</w:t>
      </w:r>
      <w:r w:rsidR="0047499B">
        <w:t xml:space="preserve"> affected by the merger. </w:t>
      </w:r>
      <w:r w:rsidR="00636B3E">
        <w:t>T</w:t>
      </w:r>
      <w:r w:rsidR="007719E6">
        <w:t xml:space="preserve">he ACCC, </w:t>
      </w:r>
      <w:r w:rsidR="00133B2F">
        <w:t xml:space="preserve">as an administrative decision-maker, </w:t>
      </w:r>
      <w:r w:rsidR="007719E6">
        <w:t>rather than the Federal Court, is best</w:t>
      </w:r>
      <w:r w:rsidR="004F3163">
        <w:t xml:space="preserve"> </w:t>
      </w:r>
      <w:r w:rsidR="007719E6">
        <w:t xml:space="preserve">placed to </w:t>
      </w:r>
      <w:r w:rsidR="007B74A0">
        <w:t>undertake this consideration</w:t>
      </w:r>
      <w:r w:rsidR="00A92B92">
        <w:t>.</w:t>
      </w:r>
      <w:r w:rsidR="00A77B30" w:rsidRPr="00A77B30">
        <w:t xml:space="preserve"> </w:t>
      </w:r>
      <w:r w:rsidR="00A77B30">
        <w:t xml:space="preserve">It will enhance accountability, accessibility and transparency of </w:t>
      </w:r>
      <w:r w:rsidR="00A92B92">
        <w:t>merger review.</w:t>
      </w:r>
      <w:r w:rsidR="00A77B30">
        <w:t xml:space="preserve"> </w:t>
      </w:r>
      <w:r w:rsidR="00C81BC4">
        <w:t>N</w:t>
      </w:r>
      <w:r w:rsidR="0050214A" w:rsidRPr="00520177">
        <w:t>ecessary</w:t>
      </w:r>
      <w:r w:rsidR="00F10D75" w:rsidRPr="00520177">
        <w:t xml:space="preserve"> economic rigour </w:t>
      </w:r>
      <w:r w:rsidR="00C81BC4">
        <w:t>will</w:t>
      </w:r>
      <w:r w:rsidR="00C81BC4" w:rsidRPr="00520177">
        <w:t xml:space="preserve"> </w:t>
      </w:r>
      <w:r w:rsidR="00FF1D59" w:rsidRPr="00520177">
        <w:t xml:space="preserve">be applied </w:t>
      </w:r>
      <w:r w:rsidR="00F10D75" w:rsidRPr="00520177">
        <w:t xml:space="preserve">to </w:t>
      </w:r>
      <w:r w:rsidR="00340E6E" w:rsidRPr="00520177">
        <w:t>the assessment of mergers</w:t>
      </w:r>
      <w:r w:rsidR="007308F1">
        <w:t xml:space="preserve">, </w:t>
      </w:r>
      <w:r w:rsidR="003F4FCF">
        <w:t xml:space="preserve">supported by information and evidence </w:t>
      </w:r>
      <w:r w:rsidR="00842A9D">
        <w:t>without being</w:t>
      </w:r>
      <w:r w:rsidR="00BC6592">
        <w:t xml:space="preserve"> </w:t>
      </w:r>
      <w:r w:rsidR="000C6BAD">
        <w:t xml:space="preserve">limited </w:t>
      </w:r>
      <w:r w:rsidR="00BC6592">
        <w:t>by the rules of admissibility</w:t>
      </w:r>
      <w:r w:rsidR="00D00662">
        <w:t xml:space="preserve"> under the </w:t>
      </w:r>
      <w:r w:rsidR="00DC4E47" w:rsidRPr="009C7E52">
        <w:rPr>
          <w:i/>
        </w:rPr>
        <w:t xml:space="preserve">Evidence Act </w:t>
      </w:r>
      <w:r w:rsidR="00DF3DA8" w:rsidRPr="009C7E52">
        <w:rPr>
          <w:i/>
        </w:rPr>
        <w:t>1995</w:t>
      </w:r>
      <w:r w:rsidR="00DF3DA8">
        <w:t xml:space="preserve"> (</w:t>
      </w:r>
      <w:r w:rsidR="00DF3DA8" w:rsidRPr="009C7E52">
        <w:t>Cth)</w:t>
      </w:r>
      <w:r w:rsidR="00DF3DA8">
        <w:t xml:space="preserve">. </w:t>
      </w:r>
      <w:r w:rsidR="00F757CA">
        <w:t>This</w:t>
      </w:r>
      <w:r w:rsidR="00104A0F">
        <w:t>, in conjunction with review by the Tribunal,</w:t>
      </w:r>
      <w:r w:rsidR="00EF1F72">
        <w:t xml:space="preserve"> will improve </w:t>
      </w:r>
      <w:r w:rsidR="00091BAC">
        <w:t xml:space="preserve">merger </w:t>
      </w:r>
      <w:r w:rsidR="00EF1F72">
        <w:t>outcomes</w:t>
      </w:r>
      <w:r w:rsidR="00FE6B23">
        <w:t xml:space="preserve">. </w:t>
      </w:r>
      <w:r w:rsidR="004411D2">
        <w:t xml:space="preserve">This will </w:t>
      </w:r>
      <w:r w:rsidR="00361C27">
        <w:t xml:space="preserve">mitigate the risk of </w:t>
      </w:r>
      <w:r w:rsidR="00C148D2">
        <w:t>harmful mergers being cleared</w:t>
      </w:r>
      <w:r w:rsidR="00361C27">
        <w:t xml:space="preserve"> and </w:t>
      </w:r>
      <w:r w:rsidR="00A058D3">
        <w:t xml:space="preserve">benign mergers </w:t>
      </w:r>
      <w:r w:rsidR="00D90651">
        <w:t>not proceeding</w:t>
      </w:r>
      <w:r w:rsidR="00361C27">
        <w:t xml:space="preserve">, delivering better outcomes </w:t>
      </w:r>
      <w:r w:rsidR="00E53580">
        <w:t xml:space="preserve">for merger parties, </w:t>
      </w:r>
      <w:r w:rsidR="001B5547">
        <w:t xml:space="preserve">consumers, suppliers </w:t>
      </w:r>
      <w:r w:rsidR="00E53580">
        <w:t xml:space="preserve">and the Australian </w:t>
      </w:r>
      <w:r w:rsidR="00B9291B">
        <w:t xml:space="preserve">economy. </w:t>
      </w:r>
    </w:p>
    <w:p w14:paraId="62FEFB18" w14:textId="6EEECCB2" w:rsidR="003D37D5" w:rsidRDefault="00BF122F" w:rsidP="003D37D5">
      <w:bookmarkStart w:id="15" w:name="_Hlk163217876"/>
      <w:r>
        <w:t>I</w:t>
      </w:r>
      <w:r w:rsidR="005823EA">
        <w:t xml:space="preserve">nformation provided to the ACCC </w:t>
      </w:r>
      <w:r w:rsidR="00E92ACC">
        <w:t xml:space="preserve">on competition issues </w:t>
      </w:r>
      <w:r w:rsidR="00AB7951">
        <w:t xml:space="preserve">by </w:t>
      </w:r>
      <w:r w:rsidR="00BE4898">
        <w:t xml:space="preserve">foreign merger proponents </w:t>
      </w:r>
      <w:r w:rsidR="00DD2559">
        <w:t xml:space="preserve">should be sufficient for the consideration of competition issues under </w:t>
      </w:r>
      <w:r w:rsidR="00B832C9">
        <w:t xml:space="preserve">the </w:t>
      </w:r>
      <w:r w:rsidR="003D37D5" w:rsidRPr="00A941DF">
        <w:rPr>
          <w:i/>
        </w:rPr>
        <w:t>Foreign Acquisitions and Takeovers Act 1975</w:t>
      </w:r>
      <w:r w:rsidR="003D37D5" w:rsidRPr="00A941DF">
        <w:t xml:space="preserve">. </w:t>
      </w:r>
      <w:bookmarkEnd w:id="15"/>
      <w:r w:rsidR="003D37D5">
        <w:t xml:space="preserve">Foreign investors will not be </w:t>
      </w:r>
      <w:r w:rsidR="00D12924">
        <w:t xml:space="preserve">required </w:t>
      </w:r>
      <w:r w:rsidR="008D4A6C">
        <w:t>to</w:t>
      </w:r>
      <w:r w:rsidR="005B0404">
        <w:t xml:space="preserve"> notify</w:t>
      </w:r>
      <w:r w:rsidR="003D37D5">
        <w:t xml:space="preserve"> below-the-threshold mergers to the ACCC. The Government will also </w:t>
      </w:r>
      <w:r w:rsidR="000440F8">
        <w:t>explore</w:t>
      </w:r>
      <w:r w:rsidR="003D37D5">
        <w:t xml:space="preserve"> opportunities to streamline the competition assessment of mergers in sectors subject to separate national interest considerations, including </w:t>
      </w:r>
      <w:r w:rsidR="00C77934">
        <w:t xml:space="preserve">under the </w:t>
      </w:r>
      <w:r w:rsidR="003D37D5" w:rsidRPr="00877D66">
        <w:rPr>
          <w:i/>
        </w:rPr>
        <w:t xml:space="preserve">Financial Sector (Shareholdings Act) </w:t>
      </w:r>
      <w:r w:rsidR="003D37D5" w:rsidRPr="00964765">
        <w:rPr>
          <w:i/>
        </w:rPr>
        <w:t>1998</w:t>
      </w:r>
      <w:r w:rsidR="003D37D5">
        <w:t xml:space="preserve"> </w:t>
      </w:r>
      <w:r w:rsidR="003D37D5" w:rsidRPr="003A08DA">
        <w:t>and</w:t>
      </w:r>
      <w:r w:rsidR="003D37D5">
        <w:t xml:space="preserve"> </w:t>
      </w:r>
      <w:r w:rsidR="003D37D5" w:rsidRPr="00BB52C3">
        <w:rPr>
          <w:i/>
          <w:iCs/>
        </w:rPr>
        <w:t>Insurance Acquisitions and Takeovers Act 1991</w:t>
      </w:r>
      <w:r w:rsidR="003D37D5">
        <w:t>.</w:t>
      </w:r>
    </w:p>
    <w:p w14:paraId="7C32DF46" w14:textId="153762C2" w:rsidR="00457641" w:rsidRDefault="000475BD" w:rsidP="00457641">
      <w:pPr>
        <w:pStyle w:val="Heading2"/>
      </w:pPr>
      <w:bookmarkStart w:id="16" w:name="_Toc156141230"/>
      <w:bookmarkStart w:id="17" w:name="_Toc156207572"/>
      <w:bookmarkStart w:id="18" w:name="_Toc163550084"/>
      <w:r>
        <w:t>F</w:t>
      </w:r>
      <w:r w:rsidR="001F1595">
        <w:t>aster</w:t>
      </w:r>
      <w:r w:rsidR="00BC4EB7">
        <w:t>, targeted</w:t>
      </w:r>
      <w:r w:rsidR="001F1595">
        <w:t xml:space="preserve"> </w:t>
      </w:r>
      <w:r w:rsidR="001E554C">
        <w:t>merger review</w:t>
      </w:r>
      <w:bookmarkEnd w:id="13"/>
      <w:bookmarkEnd w:id="16"/>
      <w:bookmarkEnd w:id="17"/>
      <w:bookmarkEnd w:id="18"/>
    </w:p>
    <w:p w14:paraId="55D4BF81" w14:textId="683199B6" w:rsidR="00554A9B" w:rsidRDefault="00457641" w:rsidP="00457641">
      <w:r>
        <w:t xml:space="preserve">The new system will enhance the ACCC’s ability to </w:t>
      </w:r>
      <w:r w:rsidR="003038EA">
        <w:t>effectively</w:t>
      </w:r>
      <w:r>
        <w:t xml:space="preserve"> assess and consider mergers. It responds to the ACCC’s concerns that it is not adequately notified of mergers and is given insufficient </w:t>
      </w:r>
      <w:r w:rsidR="00171E43">
        <w:t>information</w:t>
      </w:r>
      <w:r w:rsidR="00AF00E7">
        <w:t xml:space="preserve"> and</w:t>
      </w:r>
      <w:r w:rsidR="00171E43">
        <w:t xml:space="preserve"> evidence</w:t>
      </w:r>
      <w:r w:rsidR="00A16FB9">
        <w:t xml:space="preserve"> </w:t>
      </w:r>
      <w:r>
        <w:t xml:space="preserve">to complete its review. </w:t>
      </w:r>
    </w:p>
    <w:p w14:paraId="61B30553" w14:textId="51E2D207" w:rsidR="00457641" w:rsidRDefault="00A04FA2" w:rsidP="00457641">
      <w:pPr>
        <w:pStyle w:val="Heading3"/>
      </w:pPr>
      <w:bookmarkStart w:id="19" w:name="_Toc156141231"/>
      <w:bookmarkStart w:id="20" w:name="_Toc156207573"/>
      <w:bookmarkStart w:id="21" w:name="_Toc163550085"/>
      <w:r>
        <w:t xml:space="preserve">Targeted mandatory notification </w:t>
      </w:r>
      <w:r w:rsidR="74B127C7">
        <w:t>thresholds</w:t>
      </w:r>
      <w:bookmarkEnd w:id="19"/>
      <w:bookmarkEnd w:id="20"/>
      <w:bookmarkEnd w:id="21"/>
    </w:p>
    <w:p w14:paraId="20495DC4" w14:textId="6BA1CDB3" w:rsidR="00520528" w:rsidRDefault="00520528" w:rsidP="00520528">
      <w:r>
        <w:t xml:space="preserve">A merger can occur when there is a change of control of a business or asset. The competitive structure of a market can be affected by mergers which involve both an acquisition of outright control, but also minority acquisitions which may provide de facto control or the ability to materially influence the acquired business. </w:t>
      </w:r>
    </w:p>
    <w:p w14:paraId="1239B788" w14:textId="415F281A" w:rsidR="000C4E5E" w:rsidRDefault="00457641" w:rsidP="00BC01DB">
      <w:r>
        <w:t xml:space="preserve">The </w:t>
      </w:r>
      <w:r w:rsidR="00FD2403">
        <w:t xml:space="preserve">person </w:t>
      </w:r>
      <w:r w:rsidR="00711DC6">
        <w:t xml:space="preserve">or people </w:t>
      </w:r>
      <w:r w:rsidR="00FD2403">
        <w:t xml:space="preserve">acquiring control </w:t>
      </w:r>
      <w:r w:rsidR="00711DC6">
        <w:t xml:space="preserve">of the </w:t>
      </w:r>
      <w:r w:rsidR="00DA0C97">
        <w:t>business or assets</w:t>
      </w:r>
      <w:r w:rsidR="00FF3350">
        <w:t xml:space="preserve"> </w:t>
      </w:r>
      <w:r>
        <w:t xml:space="preserve">will be required to notify </w:t>
      </w:r>
      <w:r w:rsidR="003D0D0A">
        <w:t xml:space="preserve">the ACCC of </w:t>
      </w:r>
      <w:r>
        <w:t xml:space="preserve">a merger </w:t>
      </w:r>
      <w:r w:rsidR="002C116C">
        <w:t xml:space="preserve">that </w:t>
      </w:r>
      <w:r>
        <w:t>meets the thresholds</w:t>
      </w:r>
      <w:r w:rsidR="00D85CCD">
        <w:t>.</w:t>
      </w:r>
      <w:r w:rsidR="00937189">
        <w:t xml:space="preserve"> </w:t>
      </w:r>
    </w:p>
    <w:p w14:paraId="6845AC4E" w14:textId="23E48E74" w:rsidR="00BC01DB" w:rsidRDefault="00D85CCD" w:rsidP="00BC01DB">
      <w:r>
        <w:t xml:space="preserve">A merger must not be put into effect until </w:t>
      </w:r>
      <w:r w:rsidR="00457641" w:rsidDel="003D0D0A">
        <w:t xml:space="preserve">the ACCC </w:t>
      </w:r>
      <w:r>
        <w:t xml:space="preserve">has determined that </w:t>
      </w:r>
      <w:r w:rsidR="00D138CE">
        <w:t>it may be</w:t>
      </w:r>
      <w:r w:rsidR="00C84D75">
        <w:t xml:space="preserve"> (with or without conditions</w:t>
      </w:r>
      <w:r w:rsidR="00C84D75" w:rsidRPr="00906AE8">
        <w:t>)</w:t>
      </w:r>
      <w:r w:rsidRPr="00906AE8">
        <w:t xml:space="preserve">. </w:t>
      </w:r>
      <w:r w:rsidR="00BC01DB">
        <w:t>A</w:t>
      </w:r>
      <w:r w:rsidR="00BC01DB" w:rsidRPr="00906AE8">
        <w:t xml:space="preserve">ny </w:t>
      </w:r>
      <w:r w:rsidR="00BC01DB">
        <w:t>merger or contract, arrangement or understanding related to the merger, which purports to be put into effect otherwise than in accordance with the ACCC’s determination, or the time period has otherwise elapsed, will be void</w:t>
      </w:r>
      <w:r w:rsidR="00E501AE">
        <w:t>.</w:t>
      </w:r>
    </w:p>
    <w:p w14:paraId="1DBAEF16" w14:textId="0A0D1D3C" w:rsidR="0076756A" w:rsidRDefault="004B6D76" w:rsidP="00457641">
      <w:r>
        <w:t>To ensure</w:t>
      </w:r>
      <w:r w:rsidR="002D4B52" w:rsidRPr="00906AE8">
        <w:t xml:space="preserve"> the system is</w:t>
      </w:r>
      <w:r w:rsidR="007B4382" w:rsidRPr="00906AE8">
        <w:t xml:space="preserve"> risk-based and</w:t>
      </w:r>
      <w:r w:rsidR="002D4B52" w:rsidRPr="00906AE8">
        <w:t xml:space="preserve"> targeted at those mergers most likely to </w:t>
      </w:r>
      <w:r w:rsidR="009B6043" w:rsidRPr="00906AE8">
        <w:t xml:space="preserve">result in harm to </w:t>
      </w:r>
      <w:r w:rsidR="009C21A8" w:rsidRPr="00906AE8">
        <w:t xml:space="preserve">competition and consumers, </w:t>
      </w:r>
      <w:r w:rsidR="005F4876" w:rsidRPr="00906AE8">
        <w:t xml:space="preserve">notification thresholds will </w:t>
      </w:r>
      <w:r w:rsidR="000F7BF4" w:rsidRPr="00906AE8">
        <w:t>be</w:t>
      </w:r>
      <w:r w:rsidR="005F4876" w:rsidRPr="00906AE8">
        <w:t xml:space="preserve"> </w:t>
      </w:r>
      <w:r w:rsidR="00241044" w:rsidRPr="00906AE8">
        <w:t>both</w:t>
      </w:r>
      <w:r w:rsidR="006D6D01" w:rsidRPr="00906AE8">
        <w:t xml:space="preserve"> monetary</w:t>
      </w:r>
      <w:r w:rsidR="00815C05" w:rsidRPr="00906AE8">
        <w:t xml:space="preserve"> and </w:t>
      </w:r>
      <w:r w:rsidR="00522CB4">
        <w:t>share of supply or market</w:t>
      </w:r>
      <w:r w:rsidR="00903DC0">
        <w:t xml:space="preserve"> </w:t>
      </w:r>
      <w:r w:rsidR="00522CB4">
        <w:t>share</w:t>
      </w:r>
      <w:r w:rsidR="0059463C" w:rsidRPr="00906AE8">
        <w:t>-</w:t>
      </w:r>
      <w:r w:rsidR="000F7BF4" w:rsidRPr="00906AE8">
        <w:t>based</w:t>
      </w:r>
      <w:r w:rsidR="00815C05" w:rsidRPr="00906AE8">
        <w:t>. This</w:t>
      </w:r>
      <w:r w:rsidR="004348B9">
        <w:t xml:space="preserve"> will</w:t>
      </w:r>
      <w:r w:rsidR="00E4041C" w:rsidRPr="00906AE8">
        <w:t xml:space="preserve"> </w:t>
      </w:r>
      <w:r w:rsidR="004348B9">
        <w:t>mean</w:t>
      </w:r>
      <w:r w:rsidR="00FF622C" w:rsidRPr="00906AE8">
        <w:t xml:space="preserve"> that the ACCC is apprised of those mergers </w:t>
      </w:r>
      <w:r w:rsidR="00086811" w:rsidRPr="00906AE8">
        <w:t xml:space="preserve">most </w:t>
      </w:r>
      <w:r w:rsidR="00FF622C" w:rsidRPr="00906AE8">
        <w:t xml:space="preserve">likely to </w:t>
      </w:r>
      <w:r w:rsidR="00086811" w:rsidRPr="00906AE8">
        <w:t>impact</w:t>
      </w:r>
      <w:r w:rsidR="000D0BF2" w:rsidRPr="00906AE8">
        <w:t xml:space="preserve"> </w:t>
      </w:r>
      <w:r w:rsidR="000D0BF2" w:rsidRPr="00906AE8">
        <w:lastRenderedPageBreak/>
        <w:t>Australian consumers</w:t>
      </w:r>
      <w:r w:rsidR="00FF622C" w:rsidRPr="00906AE8">
        <w:t xml:space="preserve"> if </w:t>
      </w:r>
      <w:r w:rsidR="00FB353A">
        <w:t xml:space="preserve">they are </w:t>
      </w:r>
      <w:r w:rsidR="00601F9C" w:rsidRPr="00906AE8">
        <w:t>anti-competitive</w:t>
      </w:r>
      <w:r w:rsidR="008D059F" w:rsidRPr="00906AE8">
        <w:t>, while</w:t>
      </w:r>
      <w:r w:rsidR="008D059F">
        <w:t xml:space="preserve"> reducing the overall compliance burden on businesses</w:t>
      </w:r>
      <w:r w:rsidR="00601F9C" w:rsidRPr="007F118B">
        <w:t xml:space="preserve">. </w:t>
      </w:r>
    </w:p>
    <w:p w14:paraId="11E9757C" w14:textId="2A421825" w:rsidR="00A71239" w:rsidRPr="00355B11" w:rsidRDefault="007B4382" w:rsidP="00457641">
      <w:r>
        <w:t xml:space="preserve">Monetary thresholds </w:t>
      </w:r>
      <w:r w:rsidR="0041071D">
        <w:t>will</w:t>
      </w:r>
      <w:r w:rsidR="004B7FBF">
        <w:t xml:space="preserve"> </w:t>
      </w:r>
      <w:r w:rsidR="00B664DE">
        <w:t xml:space="preserve">be </w:t>
      </w:r>
      <w:r w:rsidR="00C874E3">
        <w:t xml:space="preserve">subject to consultation and </w:t>
      </w:r>
      <w:r w:rsidR="00165680">
        <w:t xml:space="preserve">set </w:t>
      </w:r>
      <w:r w:rsidR="00B664DE">
        <w:t xml:space="preserve">by reference to typical business metrics such as </w:t>
      </w:r>
      <w:r>
        <w:t>turnover (sales revenue)</w:t>
      </w:r>
      <w:r w:rsidR="00B664DE">
        <w:t xml:space="preserve">, profitability or transaction value. </w:t>
      </w:r>
      <w:r w:rsidR="00522CB4">
        <w:t>Share of supply or m</w:t>
      </w:r>
      <w:r w:rsidR="00A352E0" w:rsidRPr="007F118B">
        <w:t>arket</w:t>
      </w:r>
      <w:r w:rsidR="00522CB4">
        <w:t>-</w:t>
      </w:r>
      <w:r w:rsidR="00A352E0" w:rsidRPr="007F118B">
        <w:t xml:space="preserve">share thresholds </w:t>
      </w:r>
      <w:r w:rsidR="002361CA">
        <w:t xml:space="preserve">will </w:t>
      </w:r>
      <w:r w:rsidR="009F0B3B">
        <w:t xml:space="preserve">ensure mergers below the monetary thresholds but </w:t>
      </w:r>
      <w:r w:rsidR="009F0B3B" w:rsidRPr="00355B11">
        <w:t xml:space="preserve">which otherwise </w:t>
      </w:r>
      <w:r w:rsidR="00665601" w:rsidRPr="00355B11">
        <w:t xml:space="preserve">present risks </w:t>
      </w:r>
      <w:r w:rsidR="00FB7B04" w:rsidRPr="00355B11">
        <w:t xml:space="preserve">to competition </w:t>
      </w:r>
      <w:r w:rsidR="002361CA" w:rsidRPr="00355B11">
        <w:t>will</w:t>
      </w:r>
      <w:r w:rsidR="00FB7B04" w:rsidRPr="00355B11">
        <w:t xml:space="preserve"> be notified to the ACCC. </w:t>
      </w:r>
      <w:r w:rsidR="00862ED3" w:rsidRPr="00355B11">
        <w:t xml:space="preserve">Market share thresholds </w:t>
      </w:r>
      <w:r w:rsidR="00A352E0" w:rsidRPr="00355B11">
        <w:t xml:space="preserve">are familiar to </w:t>
      </w:r>
      <w:r w:rsidR="0058777E" w:rsidRPr="00355B11">
        <w:t>businesses in Australia</w:t>
      </w:r>
      <w:r w:rsidR="004F23C9" w:rsidRPr="00355B11">
        <w:t xml:space="preserve"> given </w:t>
      </w:r>
      <w:r w:rsidR="00A165FD" w:rsidRPr="00355B11">
        <w:t>the</w:t>
      </w:r>
      <w:r w:rsidR="00B22D9E" w:rsidRPr="00355B11">
        <w:t>y</w:t>
      </w:r>
      <w:r w:rsidR="00A165FD" w:rsidRPr="00355B11">
        <w:t xml:space="preserve"> </w:t>
      </w:r>
      <w:r w:rsidR="001C69CB" w:rsidRPr="00355B11">
        <w:t xml:space="preserve">are a feature of the </w:t>
      </w:r>
      <w:r w:rsidR="00A165FD" w:rsidRPr="00355B11">
        <w:t>ACCC’s current</w:t>
      </w:r>
      <w:r w:rsidR="009665B3" w:rsidRPr="00355B11">
        <w:t xml:space="preserve"> </w:t>
      </w:r>
      <w:r w:rsidR="00A165FD" w:rsidRPr="00355B11">
        <w:t>merger review approach</w:t>
      </w:r>
      <w:r w:rsidR="00862ED3" w:rsidRPr="00355B11">
        <w:t>.</w:t>
      </w:r>
      <w:r w:rsidR="009430DE" w:rsidRPr="00355B11">
        <w:t xml:space="preserve"> </w:t>
      </w:r>
      <w:r w:rsidR="00DB199C" w:rsidRPr="00355B11">
        <w:t>A</w:t>
      </w:r>
      <w:r w:rsidR="008E3EE7" w:rsidRPr="00355B11">
        <w:t xml:space="preserve"> </w:t>
      </w:r>
      <w:r w:rsidR="00002839" w:rsidRPr="00355B11">
        <w:t xml:space="preserve">Treasury </w:t>
      </w:r>
      <w:r w:rsidR="00E478B9" w:rsidRPr="00355B11">
        <w:t>M</w:t>
      </w:r>
      <w:r w:rsidR="00002839" w:rsidRPr="00355B11">
        <w:t>inister</w:t>
      </w:r>
      <w:r w:rsidR="00987F5C" w:rsidRPr="00355B11">
        <w:t xml:space="preserve"> will be given the power</w:t>
      </w:r>
      <w:r w:rsidR="008E3EE7" w:rsidRPr="00355B11">
        <w:t xml:space="preserve"> to introduce additional targeted notification </w:t>
      </w:r>
      <w:r w:rsidR="007B3322" w:rsidRPr="00355B11">
        <w:t>obligations</w:t>
      </w:r>
      <w:r w:rsidR="00CB2533" w:rsidRPr="00355B11">
        <w:t xml:space="preserve"> in response to</w:t>
      </w:r>
      <w:r w:rsidR="000C2F07" w:rsidRPr="00355B11">
        <w:t xml:space="preserve"> evidence-based concerns</w:t>
      </w:r>
      <w:r w:rsidR="006D3F8C" w:rsidRPr="00355B11">
        <w:t xml:space="preserve"> </w:t>
      </w:r>
      <w:r w:rsidR="00296761" w:rsidRPr="00355B11">
        <w:t>regarding</w:t>
      </w:r>
      <w:r w:rsidR="000C2F07" w:rsidRPr="00355B11">
        <w:t xml:space="preserve"> certain </w:t>
      </w:r>
      <w:r w:rsidR="002A70F9" w:rsidRPr="00355B11">
        <w:t xml:space="preserve">high-risk </w:t>
      </w:r>
      <w:r w:rsidR="000C2F07" w:rsidRPr="00355B11">
        <w:t>mergers</w:t>
      </w:r>
      <w:r w:rsidR="00E624C5" w:rsidRPr="00355B11">
        <w:t xml:space="preserve">. </w:t>
      </w:r>
      <w:r w:rsidR="006C69E4" w:rsidRPr="00355B11">
        <w:t>The merger notification thresholds will be subject to periodic review.</w:t>
      </w:r>
    </w:p>
    <w:p w14:paraId="7AB8D8D7" w14:textId="39E7DD4E" w:rsidR="000F0B1F" w:rsidRDefault="000F0B1F" w:rsidP="00457641">
      <w:r w:rsidRPr="00355B11">
        <w:t>In addition, to</w:t>
      </w:r>
      <w:r w:rsidRPr="00355B11">
        <w:rPr>
          <w:spacing w:val="-10"/>
        </w:rPr>
        <w:t xml:space="preserve"> </w:t>
      </w:r>
      <w:r w:rsidRPr="00355B11">
        <w:t>respond</w:t>
      </w:r>
      <w:r w:rsidRPr="00355B11">
        <w:rPr>
          <w:spacing w:val="-8"/>
        </w:rPr>
        <w:t xml:space="preserve"> </w:t>
      </w:r>
      <w:r w:rsidRPr="00355B11">
        <w:t>to</w:t>
      </w:r>
      <w:r w:rsidRPr="00355B11">
        <w:rPr>
          <w:spacing w:val="-11"/>
        </w:rPr>
        <w:t xml:space="preserve"> </w:t>
      </w:r>
      <w:r w:rsidRPr="00355B11">
        <w:t>concerns</w:t>
      </w:r>
      <w:r w:rsidRPr="00355B11">
        <w:rPr>
          <w:spacing w:val="-9"/>
        </w:rPr>
        <w:t xml:space="preserve"> </w:t>
      </w:r>
      <w:r w:rsidRPr="00355B11">
        <w:t>regarding</w:t>
      </w:r>
      <w:r w:rsidRPr="00355B11">
        <w:rPr>
          <w:spacing w:val="-10"/>
        </w:rPr>
        <w:t xml:space="preserve"> </w:t>
      </w:r>
      <w:r w:rsidRPr="00355B11">
        <w:t>serial</w:t>
      </w:r>
      <w:r w:rsidRPr="00355B11">
        <w:rPr>
          <w:spacing w:val="-9"/>
        </w:rPr>
        <w:t xml:space="preserve"> </w:t>
      </w:r>
      <w:r w:rsidRPr="00355B11">
        <w:t>or</w:t>
      </w:r>
      <w:r w:rsidRPr="00355B11">
        <w:rPr>
          <w:spacing w:val="-8"/>
        </w:rPr>
        <w:t xml:space="preserve"> </w:t>
      </w:r>
      <w:r w:rsidRPr="00355B11">
        <w:t>creeping</w:t>
      </w:r>
      <w:r w:rsidRPr="00355B11">
        <w:rPr>
          <w:spacing w:val="-9"/>
        </w:rPr>
        <w:t xml:space="preserve"> </w:t>
      </w:r>
      <w:r w:rsidRPr="00355B11">
        <w:t>acquisitions</w:t>
      </w:r>
      <w:r w:rsidRPr="00355B11">
        <w:rPr>
          <w:spacing w:val="-9"/>
        </w:rPr>
        <w:t xml:space="preserve"> </w:t>
      </w:r>
      <w:r w:rsidRPr="00355B11">
        <w:t>and</w:t>
      </w:r>
      <w:r w:rsidRPr="00355B11">
        <w:rPr>
          <w:spacing w:val="-10"/>
        </w:rPr>
        <w:t xml:space="preserve"> </w:t>
      </w:r>
      <w:r w:rsidRPr="00355B11">
        <w:t>roll</w:t>
      </w:r>
      <w:r w:rsidRPr="00355B11">
        <w:rPr>
          <w:spacing w:val="-12"/>
        </w:rPr>
        <w:t xml:space="preserve"> </w:t>
      </w:r>
      <w:r w:rsidRPr="00355B11">
        <w:t>up</w:t>
      </w:r>
      <w:r w:rsidRPr="00C350CB">
        <w:rPr>
          <w:spacing w:val="-10"/>
        </w:rPr>
        <w:t xml:space="preserve"> </w:t>
      </w:r>
      <w:r w:rsidRPr="00C350CB">
        <w:t>strategies,</w:t>
      </w:r>
      <w:r w:rsidRPr="00C350CB">
        <w:rPr>
          <w:spacing w:val="-8"/>
        </w:rPr>
        <w:t xml:space="preserve"> </w:t>
      </w:r>
      <w:r w:rsidRPr="00C350CB">
        <w:t>all mergers within the previous</w:t>
      </w:r>
      <w:r w:rsidRPr="00C350CB">
        <w:rPr>
          <w:spacing w:val="-1"/>
        </w:rPr>
        <w:t xml:space="preserve"> </w:t>
      </w:r>
      <w:r w:rsidR="0076655E" w:rsidRPr="00C350CB">
        <w:t>three</w:t>
      </w:r>
      <w:r w:rsidRPr="00C350CB">
        <w:t xml:space="preserve"> years by the acquirer or the target</w:t>
      </w:r>
      <w:r w:rsidRPr="00C350CB">
        <w:rPr>
          <w:spacing w:val="-2"/>
        </w:rPr>
        <w:t xml:space="preserve"> </w:t>
      </w:r>
      <w:r w:rsidRPr="00C350CB">
        <w:t xml:space="preserve">will </w:t>
      </w:r>
      <w:r w:rsidR="00C14505" w:rsidRPr="00C350CB">
        <w:t xml:space="preserve">be </w:t>
      </w:r>
      <w:r w:rsidR="0046437C" w:rsidRPr="00C350CB">
        <w:t>aggregated</w:t>
      </w:r>
      <w:r w:rsidRPr="00C350CB">
        <w:t xml:space="preserve"> for the </w:t>
      </w:r>
      <w:r w:rsidR="0046437C" w:rsidRPr="00C350CB">
        <w:t xml:space="preserve">purposes of assessing </w:t>
      </w:r>
      <w:r w:rsidR="004F3C55" w:rsidRPr="00C350CB">
        <w:t xml:space="preserve">whether a merger meets the </w:t>
      </w:r>
      <w:r w:rsidRPr="00C350CB">
        <w:t xml:space="preserve">notification thresholds, </w:t>
      </w:r>
      <w:r w:rsidR="0046437C" w:rsidRPr="00C350CB">
        <w:t xml:space="preserve">irrespective of </w:t>
      </w:r>
      <w:r w:rsidRPr="00C350CB">
        <w:t>whether those mergers were themselves individually notifiable.</w:t>
      </w:r>
    </w:p>
    <w:p w14:paraId="4D426854" w14:textId="2CAF49C6" w:rsidR="008D059F" w:rsidRDefault="008D059F" w:rsidP="00457641">
      <w:r>
        <w:t xml:space="preserve">To promote predictability for businesses, the ACCC will be required to issue, following consultation, guidance </w:t>
      </w:r>
      <w:r w:rsidR="00327556">
        <w:t xml:space="preserve">to assist </w:t>
      </w:r>
      <w:r w:rsidR="00552E17">
        <w:t xml:space="preserve">merger parties to </w:t>
      </w:r>
      <w:r w:rsidR="005435DC">
        <w:t xml:space="preserve">determine </w:t>
      </w:r>
      <w:r>
        <w:t>if the</w:t>
      </w:r>
      <w:r w:rsidR="00552E17">
        <w:t>ir</w:t>
      </w:r>
      <w:r>
        <w:t xml:space="preserve"> combined market share </w:t>
      </w:r>
      <w:r w:rsidR="005435DC">
        <w:t>i</w:t>
      </w:r>
      <w:r>
        <w:t xml:space="preserve">s in excess of a particular threshold. </w:t>
      </w:r>
      <w:r w:rsidR="0074214F">
        <w:t>The publication of reasons for</w:t>
      </w:r>
      <w:r w:rsidR="003376A8">
        <w:t xml:space="preserve"> its determinations</w:t>
      </w:r>
      <w:r w:rsidR="0074214F">
        <w:t xml:space="preserve"> (see below)</w:t>
      </w:r>
      <w:r w:rsidR="00607446">
        <w:t xml:space="preserve">, </w:t>
      </w:r>
      <w:r w:rsidR="0074214F">
        <w:t>will also guide businesses as to the ACCC’s approach to market definition</w:t>
      </w:r>
      <w:r w:rsidR="000C67FB">
        <w:t xml:space="preserve"> in past mergers</w:t>
      </w:r>
      <w:r w:rsidR="0074214F">
        <w:t xml:space="preserve">. </w:t>
      </w:r>
    </w:p>
    <w:p w14:paraId="71E71305" w14:textId="510EF50E" w:rsidR="00CE5855" w:rsidRDefault="00937FEF" w:rsidP="00457641">
      <w:r w:rsidRPr="00C350CB">
        <w:t xml:space="preserve">It will be important that the thresholds </w:t>
      </w:r>
      <w:r w:rsidR="008446DD" w:rsidRPr="00C350CB">
        <w:t xml:space="preserve">are not </w:t>
      </w:r>
      <w:r w:rsidRPr="00C350CB">
        <w:t>easily strategically circumvented and can address the risk</w:t>
      </w:r>
      <w:r w:rsidR="008446DD" w:rsidRPr="00C350CB">
        <w:t>s</w:t>
      </w:r>
      <w:r w:rsidRPr="00C350CB">
        <w:t xml:space="preserve"> of serial acquisitions and </w:t>
      </w:r>
      <w:r w:rsidR="00ED448A" w:rsidRPr="00C350CB">
        <w:t>‘</w:t>
      </w:r>
      <w:r w:rsidRPr="00C350CB">
        <w:t xml:space="preserve">midnight </w:t>
      </w:r>
      <w:bookmarkStart w:id="22" w:name="_Int_puxrEeyJ"/>
      <w:r w:rsidRPr="00C350CB">
        <w:t>mergers</w:t>
      </w:r>
      <w:r w:rsidR="00ED448A" w:rsidRPr="00C350CB">
        <w:t>’</w:t>
      </w:r>
      <w:bookmarkEnd w:id="22"/>
      <w:r w:rsidRPr="00C350CB">
        <w:t xml:space="preserve">. </w:t>
      </w:r>
      <w:r w:rsidR="00721665" w:rsidRPr="00C350CB">
        <w:t xml:space="preserve">Anti-avoidance measures will prevent merger parties from evading merger control obligations by </w:t>
      </w:r>
      <w:r w:rsidR="00665B8E" w:rsidRPr="00C350CB">
        <w:t>transaction structuring, for example</w:t>
      </w:r>
      <w:r w:rsidR="00160144" w:rsidRPr="00C350CB">
        <w:t>,</w:t>
      </w:r>
      <w:r w:rsidR="00665B8E" w:rsidRPr="00C350CB">
        <w:t xml:space="preserve"> </w:t>
      </w:r>
      <w:r w:rsidR="00721665" w:rsidRPr="00C350CB">
        <w:t>dividing or staggering the merger into several smaller transactions.</w:t>
      </w:r>
    </w:p>
    <w:p w14:paraId="4D1120E4" w14:textId="0768C23D" w:rsidR="000B3B6B" w:rsidRPr="00D12A3E" w:rsidRDefault="006D1655" w:rsidP="00457641">
      <w:r>
        <w:t xml:space="preserve">Treasury will also </w:t>
      </w:r>
      <w:r w:rsidR="00D12A3E">
        <w:t>consult on the interaction</w:t>
      </w:r>
      <w:r w:rsidR="00F1462B">
        <w:t xml:space="preserve"> </w:t>
      </w:r>
      <w:r w:rsidR="000C2D00">
        <w:t>of</w:t>
      </w:r>
      <w:r w:rsidR="00F1462B">
        <w:t xml:space="preserve"> the new system </w:t>
      </w:r>
      <w:r w:rsidR="000C2D00">
        <w:t>with the obligations associated with hostile takeovers.</w:t>
      </w:r>
    </w:p>
    <w:p w14:paraId="3FF7376D" w14:textId="521E919F" w:rsidR="00457641" w:rsidRDefault="605861C4" w:rsidP="000446EA">
      <w:r>
        <w:t xml:space="preserve">Treasury anticipates that the thresholds will be set such that the overall volume of notifications to the ACCC will be </w:t>
      </w:r>
      <w:r w:rsidR="1AE6823A">
        <w:t>similar</w:t>
      </w:r>
      <w:r>
        <w:t xml:space="preserve"> </w:t>
      </w:r>
      <w:r w:rsidR="05DD1D9E">
        <w:t>to current</w:t>
      </w:r>
      <w:r>
        <w:t xml:space="preserve"> </w:t>
      </w:r>
      <w:r w:rsidR="52C8CE28">
        <w:t>volumes</w:t>
      </w:r>
      <w:r>
        <w:t xml:space="preserve"> (approximately 300 a year)</w:t>
      </w:r>
      <w:r w:rsidR="3F22E333">
        <w:t>. The</w:t>
      </w:r>
      <w:r w:rsidR="0F1D2999">
        <w:t xml:space="preserve"> mergers notified </w:t>
      </w:r>
      <w:r w:rsidR="00096DAE">
        <w:t xml:space="preserve">are </w:t>
      </w:r>
      <w:r w:rsidR="00066E19">
        <w:t xml:space="preserve">projected </w:t>
      </w:r>
      <w:r w:rsidR="0F1D2999">
        <w:t>to be different</w:t>
      </w:r>
      <w:r w:rsidR="13501CED">
        <w:t>;</w:t>
      </w:r>
      <w:r w:rsidR="0F1D2999">
        <w:t xml:space="preserve"> </w:t>
      </w:r>
      <w:r w:rsidR="27A9356D">
        <w:t xml:space="preserve">instead </w:t>
      </w:r>
      <w:r w:rsidR="0F1D2999">
        <w:t xml:space="preserve">focused on those </w:t>
      </w:r>
      <w:r w:rsidR="13501CED">
        <w:t>mergers which</w:t>
      </w:r>
      <w:r w:rsidR="10095BCB">
        <w:t>,</w:t>
      </w:r>
      <w:r w:rsidR="13501CED">
        <w:t xml:space="preserve"> if anti-competitive</w:t>
      </w:r>
      <w:r w:rsidR="10095BCB">
        <w:t>,</w:t>
      </w:r>
      <w:r w:rsidR="13501CED">
        <w:t xml:space="preserve"> would </w:t>
      </w:r>
      <w:r w:rsidR="50FA7BF9">
        <w:t xml:space="preserve">have </w:t>
      </w:r>
      <w:r w:rsidR="13501CED">
        <w:t>the</w:t>
      </w:r>
      <w:r w:rsidR="50FA7BF9">
        <w:t xml:space="preserve"> greate</w:t>
      </w:r>
      <w:r w:rsidR="13501CED">
        <w:t>st</w:t>
      </w:r>
      <w:r w:rsidR="50FA7BF9">
        <w:t xml:space="preserve"> impact on </w:t>
      </w:r>
      <w:r w:rsidR="3F22E333">
        <w:t>consumers</w:t>
      </w:r>
      <w:r>
        <w:t xml:space="preserve">. </w:t>
      </w:r>
    </w:p>
    <w:p w14:paraId="05B9D245" w14:textId="674CBECE" w:rsidR="00D147A6" w:rsidRDefault="00457641" w:rsidP="00457641">
      <w:r>
        <w:t>Mergers below the threshold may also be voluntarily notified to the ACCC. Such mergers would be subject to the same administrative system as above-the-threshold mergers</w:t>
      </w:r>
      <w:r w:rsidR="00A42854">
        <w:t xml:space="preserve">. </w:t>
      </w:r>
      <w:r w:rsidR="00BE2E80">
        <w:t>T</w:t>
      </w:r>
      <w:r w:rsidR="00A67A2F">
        <w:t>he ACCC will not have the ability to ‘call-in’ mergers below the thresholds for review</w:t>
      </w:r>
      <w:r w:rsidR="00B0717F">
        <w:t>, but</w:t>
      </w:r>
      <w:r w:rsidR="005F5056">
        <w:t xml:space="preserve"> </w:t>
      </w:r>
      <w:r w:rsidR="00986C02">
        <w:t xml:space="preserve">the ACCC may investigate a </w:t>
      </w:r>
      <w:r w:rsidR="00CF0EA3">
        <w:t xml:space="preserve">below-the-threshold </w:t>
      </w:r>
      <w:r w:rsidR="00986C02">
        <w:t xml:space="preserve">merger for breach of </w:t>
      </w:r>
      <w:r w:rsidR="00786192">
        <w:t xml:space="preserve">any </w:t>
      </w:r>
      <w:r w:rsidR="00986C02">
        <w:t xml:space="preserve">other </w:t>
      </w:r>
      <w:r w:rsidR="00786192">
        <w:t xml:space="preserve">relevant </w:t>
      </w:r>
      <w:r w:rsidR="00986C02">
        <w:t xml:space="preserve">provisions </w:t>
      </w:r>
      <w:r w:rsidR="00CF0EA3">
        <w:t>of the CCA</w:t>
      </w:r>
      <w:r w:rsidR="00BA60D1" w:rsidRPr="005C774F">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E40C4A" w14:paraId="36BC1DF1" w14:textId="77777777" w:rsidTr="00AD6D89">
        <w:trPr>
          <w:trHeight w:val="778"/>
          <w:jc w:val="center"/>
        </w:trPr>
        <w:tc>
          <w:tcPr>
            <w:tcW w:w="1418" w:type="dxa"/>
            <w:shd w:val="clear" w:color="auto" w:fill="6B83A7" w:themeFill="accent1" w:themeFillTint="99"/>
          </w:tcPr>
          <w:p w14:paraId="0F305ECE" w14:textId="50950D8B" w:rsidR="00741E48" w:rsidRDefault="00E40C4A" w:rsidP="00AC45A2">
            <w:pPr>
              <w:jc w:val="center"/>
            </w:pPr>
            <w:r>
              <w:rPr>
                <w:noProof/>
              </w:rPr>
              <w:drawing>
                <wp:inline distT="0" distB="0" distL="0" distR="0" wp14:anchorId="013571AE" wp14:editId="25D93B49">
                  <wp:extent cx="592853" cy="592853"/>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4DB1BD68" w14:textId="04F2E10A" w:rsidR="00741E48" w:rsidRDefault="00741E48" w:rsidP="00C417B9">
            <w:pPr>
              <w:pStyle w:val="BoxHeading"/>
            </w:pPr>
            <w:r w:rsidRPr="00741E48">
              <w:t xml:space="preserve">Treasury </w:t>
            </w:r>
            <w:r w:rsidR="00E338A7">
              <w:t>will</w:t>
            </w:r>
            <w:r w:rsidRPr="00741E48">
              <w:t xml:space="preserve"> consult on merger notification thresholds, including </w:t>
            </w:r>
            <w:r w:rsidR="00786468">
              <w:t xml:space="preserve">what is </w:t>
            </w:r>
            <w:r w:rsidRPr="00741E48">
              <w:t>a notifiable ‘merger’</w:t>
            </w:r>
            <w:r w:rsidR="0012235D">
              <w:t xml:space="preserve"> in 2024</w:t>
            </w:r>
            <w:r w:rsidRPr="00741E48">
              <w:t>.</w:t>
            </w:r>
            <w:r w:rsidR="00410FA4">
              <w:t xml:space="preserve"> </w:t>
            </w:r>
          </w:p>
        </w:tc>
      </w:tr>
    </w:tbl>
    <w:p w14:paraId="1DB8D94F" w14:textId="02F898C1" w:rsidR="00457641" w:rsidRDefault="00A04FA2" w:rsidP="00457641">
      <w:pPr>
        <w:pStyle w:val="Heading3"/>
      </w:pPr>
      <w:bookmarkStart w:id="23" w:name="_Toc156141232"/>
      <w:bookmarkStart w:id="24" w:name="_Toc156207574"/>
      <w:bookmarkStart w:id="25" w:name="_Toc163550086"/>
      <w:r>
        <w:t xml:space="preserve">Suspensory timelines supporting </w:t>
      </w:r>
      <w:r w:rsidR="006930EE">
        <w:t>prompt</w:t>
      </w:r>
      <w:r>
        <w:t xml:space="preserve"> </w:t>
      </w:r>
      <w:r w:rsidR="74B127C7">
        <w:t>review</w:t>
      </w:r>
      <w:bookmarkEnd w:id="23"/>
      <w:bookmarkEnd w:id="24"/>
      <w:bookmarkEnd w:id="25"/>
    </w:p>
    <w:p w14:paraId="31D363C5" w14:textId="4CAF76EF" w:rsidR="00BF49A0" w:rsidRDefault="00457641" w:rsidP="00BF49A0">
      <w:r>
        <w:t xml:space="preserve">Mergers are time sensitive, and </w:t>
      </w:r>
      <w:r w:rsidR="00B548EF">
        <w:t xml:space="preserve">prompt </w:t>
      </w:r>
      <w:r>
        <w:t>decision-making is critical. Clear review timelines are an important procedural safeguard and will assist merger parties in transaction planning and interested stakeholders to engage with the ACCC’s review.</w:t>
      </w:r>
      <w:r w:rsidR="00157D48">
        <w:t xml:space="preserve"> </w:t>
      </w:r>
      <w:r w:rsidR="004E1B33">
        <w:t xml:space="preserve">Time periods </w:t>
      </w:r>
      <w:r w:rsidR="004E1B33" w:rsidRPr="007A4364">
        <w:t>are predicated on the ACCC</w:t>
      </w:r>
      <w:r w:rsidR="00BF49A0" w:rsidRPr="007A4364">
        <w:t xml:space="preserve"> hav</w:t>
      </w:r>
      <w:r w:rsidR="004E1B33" w:rsidRPr="007A4364">
        <w:t>ing</w:t>
      </w:r>
      <w:r w:rsidR="00BF49A0" w:rsidRPr="007A4364">
        <w:t xml:space="preserve"> the information and evidence needed to </w:t>
      </w:r>
      <w:r w:rsidR="00AB3C22" w:rsidRPr="007A4364">
        <w:t>efficiently and effectively assess</w:t>
      </w:r>
      <w:r w:rsidR="00AB3C22">
        <w:t xml:space="preserve"> a merger.</w:t>
      </w:r>
      <w:r w:rsidR="00BF49A0">
        <w:t xml:space="preserve"> </w:t>
      </w:r>
    </w:p>
    <w:p w14:paraId="4CED48B4" w14:textId="66681C38" w:rsidR="00110B64" w:rsidRDefault="00872E86" w:rsidP="005C513D">
      <w:pPr>
        <w:spacing w:before="240" w:after="240"/>
      </w:pPr>
      <w:r>
        <w:t xml:space="preserve">The system will provide for set timelines for the ACCC’s merger review. </w:t>
      </w:r>
      <w:r w:rsidR="00157D48">
        <w:t xml:space="preserve">Treasury </w:t>
      </w:r>
      <w:r w:rsidR="00E338A7">
        <w:t>will</w:t>
      </w:r>
      <w:r w:rsidR="00157D48">
        <w:t xml:space="preserve"> </w:t>
      </w:r>
      <w:r w:rsidR="00065970">
        <w:t xml:space="preserve">set </w:t>
      </w:r>
      <w:r>
        <w:t xml:space="preserve">the </w:t>
      </w:r>
      <w:r w:rsidR="00065970">
        <w:t>merger</w:t>
      </w:r>
      <w:r>
        <w:t xml:space="preserve"> review</w:t>
      </w:r>
      <w:r w:rsidR="00065970">
        <w:t xml:space="preserve"> timelines following consultation </w:t>
      </w:r>
      <w:r w:rsidR="00E338A7">
        <w:t>in 2024</w:t>
      </w:r>
      <w:r w:rsidR="00065970">
        <w:t xml:space="preserve">. </w:t>
      </w:r>
      <w:r>
        <w:t>H</w:t>
      </w:r>
      <w:r w:rsidR="00065970">
        <w:t>owever, to assist stakeholders understand the new system, Treasury ha</w:t>
      </w:r>
      <w:r w:rsidR="009B45D3">
        <w:t>s</w:t>
      </w:r>
      <w:r w:rsidR="00065970">
        <w:t xml:space="preserve"> </w:t>
      </w:r>
      <w:r w:rsidR="00F236EE">
        <w:t>outlined</w:t>
      </w:r>
      <w:r w:rsidR="00870B97">
        <w:t xml:space="preserve"> an</w:t>
      </w:r>
      <w:r w:rsidR="00065970">
        <w:t xml:space="preserve"> indicative timeline </w:t>
      </w:r>
      <w:r w:rsidR="00CA5F31">
        <w:t>below</w:t>
      </w:r>
      <w:r w:rsidR="00065970">
        <w:t xml:space="preserve">. </w:t>
      </w:r>
    </w:p>
    <w:p w14:paraId="579A8459" w14:textId="44A50C7F" w:rsidR="008B23E1" w:rsidRDefault="007F7C0D" w:rsidP="00790D31">
      <w:pPr>
        <w:spacing w:before="240"/>
      </w:pPr>
      <w:r>
        <w:rPr>
          <w:noProof/>
        </w:rPr>
        <w:lastRenderedPageBreak/>
        <w:drawing>
          <wp:anchor distT="0" distB="0" distL="114300" distR="114300" simplePos="0" relativeHeight="251658243" behindDoc="0" locked="0" layoutInCell="1" allowOverlap="1" wp14:anchorId="213724A1" wp14:editId="1AF214DA">
            <wp:simplePos x="0" y="0"/>
            <wp:positionH relativeFrom="margin">
              <wp:align>left</wp:align>
            </wp:positionH>
            <wp:positionV relativeFrom="paragraph">
              <wp:posOffset>0</wp:posOffset>
            </wp:positionV>
            <wp:extent cx="5541010" cy="2477216"/>
            <wp:effectExtent l="0" t="0" r="2540" b="0"/>
            <wp:wrapSquare wrapText="bothSides"/>
            <wp:docPr id="27" name="Graphic 27" descr="The diagram shows the indicative timeline for the ACCC's merger assessment and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he diagram shows the indicative timeline for the ACCC's merger assessment and determination.​"/>
                    <pic:cNvPicPr/>
                  </pic:nvPicPr>
                  <pic:blipFill rotWithShape="1">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rcRect t="16256" b="20566"/>
                    <a:stretch/>
                  </pic:blipFill>
                  <pic:spPr bwMode="auto">
                    <a:xfrm>
                      <a:off x="0" y="0"/>
                      <a:ext cx="5541010" cy="2477216"/>
                    </a:xfrm>
                    <a:prstGeom prst="rect">
                      <a:avLst/>
                    </a:prstGeom>
                    <a:ln>
                      <a:noFill/>
                    </a:ln>
                    <a:extLst>
                      <a:ext uri="{53640926-AAD7-44D8-BBD7-CCE9431645EC}">
                        <a14:shadowObscured xmlns:a14="http://schemas.microsoft.com/office/drawing/2010/main"/>
                      </a:ext>
                    </a:extLst>
                  </pic:spPr>
                </pic:pic>
              </a:graphicData>
            </a:graphic>
          </wp:anchor>
        </w:drawing>
      </w:r>
      <w:r w:rsidR="00457641">
        <w:t xml:space="preserve">Indicative timelines, broadly consistent with international best practice, would be a ‘Phase I’ review period of 30 working days and a more in-depth ‘Phase II’ review period of 90 working days, with the option of fast-track </w:t>
      </w:r>
      <w:r w:rsidR="00AC51E7">
        <w:t>determination</w:t>
      </w:r>
      <w:r w:rsidR="004343FA">
        <w:t xml:space="preserve"> after at least 15 working days</w:t>
      </w:r>
      <w:r w:rsidR="00716F39">
        <w:t xml:space="preserve"> only</w:t>
      </w:r>
      <w:r w:rsidR="00AC51E7">
        <w:t xml:space="preserve"> </w:t>
      </w:r>
      <w:r w:rsidR="00457641">
        <w:t xml:space="preserve">if no concerns are identified by the ACCC. </w:t>
      </w:r>
      <w:r w:rsidR="008B23E1">
        <w:t xml:space="preserve">It is expected that the ACCC will determine </w:t>
      </w:r>
      <w:r w:rsidR="00D85980">
        <w:t xml:space="preserve">that </w:t>
      </w:r>
      <w:r w:rsidR="008B23E1">
        <w:t xml:space="preserve">the vast majority of mergers may be put into effect within the Phase I period </w:t>
      </w:r>
      <w:r w:rsidR="00355B11">
        <w:t xml:space="preserve">of around </w:t>
      </w:r>
      <w:r w:rsidR="008B23E1">
        <w:t>15-30 working days.</w:t>
      </w:r>
    </w:p>
    <w:p w14:paraId="0E329824" w14:textId="40D133E7" w:rsidR="00804921" w:rsidRDefault="00457641" w:rsidP="00242526">
      <w:r>
        <w:t>These time periods may be extended</w:t>
      </w:r>
      <w:r w:rsidR="00DE59C4">
        <w:t xml:space="preserve"> by the ACCC</w:t>
      </w:r>
      <w:r>
        <w:t xml:space="preserve">, in </w:t>
      </w:r>
      <w:r w:rsidR="00FC6454">
        <w:t xml:space="preserve">appropriate </w:t>
      </w:r>
      <w:r>
        <w:t>circumstances and subject to procedural safeguards, for example if remedies are offered by the merger parties, by mutual agreement</w:t>
      </w:r>
      <w:r w:rsidR="005C7281">
        <w:t xml:space="preserve"> or </w:t>
      </w:r>
      <w:r>
        <w:t xml:space="preserve">if requested information is not promptly provided. </w:t>
      </w:r>
      <w:bookmarkStart w:id="26" w:name="_Int_nAMVO3HH"/>
      <w:r w:rsidR="00AA240D">
        <w:t>T</w:t>
      </w:r>
      <w:r w:rsidR="00804921">
        <w:t>reasury</w:t>
      </w:r>
      <w:bookmarkEnd w:id="26"/>
      <w:r w:rsidR="00804921">
        <w:t xml:space="preserve"> </w:t>
      </w:r>
      <w:r w:rsidR="00811001">
        <w:t>will</w:t>
      </w:r>
      <w:r w:rsidR="00804921">
        <w:t xml:space="preserve"> consult on the </w:t>
      </w:r>
      <w:r w:rsidR="00AA240D">
        <w:t xml:space="preserve">rules </w:t>
      </w:r>
      <w:r w:rsidR="003E02DB">
        <w:t xml:space="preserve">as to how the ‘clock’ can start and stop </w:t>
      </w:r>
      <w:r w:rsidR="00804921">
        <w:t>and the associated procedural safeguards</w:t>
      </w:r>
      <w:r w:rsidR="00B56CE0">
        <w:t xml:space="preserve"> in 2024</w:t>
      </w:r>
      <w:r w:rsidR="00804921">
        <w:t>.</w:t>
      </w:r>
    </w:p>
    <w:p w14:paraId="17D025C5" w14:textId="16FCFFEE" w:rsidR="00883896" w:rsidRPr="004722C4" w:rsidRDefault="00457641" w:rsidP="00883896">
      <w:r>
        <w:t xml:space="preserve">The Phase I review period would commence upon receipt by the ACCC of a complete notification. Merger parties will be able to engage in </w:t>
      </w:r>
      <w:r w:rsidR="009A3CB1">
        <w:t xml:space="preserve">optional </w:t>
      </w:r>
      <w:r>
        <w:t xml:space="preserve">confidential pre-notification discussions with the </w:t>
      </w:r>
      <w:r w:rsidRPr="004722C4">
        <w:t xml:space="preserve">ACCC to facilitate </w:t>
      </w:r>
      <w:r w:rsidR="006E4EFF" w:rsidRPr="004722C4">
        <w:t xml:space="preserve">prompt </w:t>
      </w:r>
      <w:r w:rsidRPr="004722C4">
        <w:t xml:space="preserve">notification of a </w:t>
      </w:r>
      <w:r w:rsidR="00315561" w:rsidRPr="004722C4">
        <w:t>merger if</w:t>
      </w:r>
      <w:r w:rsidR="001B04A6" w:rsidRPr="004722C4">
        <w:t xml:space="preserve"> they wish to do so</w:t>
      </w:r>
      <w:r w:rsidRPr="004722C4">
        <w:t xml:space="preserve">. </w:t>
      </w:r>
    </w:p>
    <w:p w14:paraId="640B381D" w14:textId="4394FE0F" w:rsidR="00F46D2A" w:rsidRDefault="00457641" w:rsidP="00457641">
      <w:r w:rsidRPr="004722C4">
        <w:t>The ACCC</w:t>
      </w:r>
      <w:r w:rsidR="00F647EB">
        <w:t xml:space="preserve"> will</w:t>
      </w:r>
      <w:r w:rsidRPr="004722C4">
        <w:t xml:space="preserve"> </w:t>
      </w:r>
      <w:r w:rsidR="00184EAB" w:rsidRPr="004722C4">
        <w:t xml:space="preserve">only commit a merger to a Phase II review </w:t>
      </w:r>
      <w:r w:rsidR="00B76F12" w:rsidRPr="004722C4">
        <w:t>if it has</w:t>
      </w:r>
      <w:r w:rsidRPr="004722C4">
        <w:t xml:space="preserve"> a reasonable basis </w:t>
      </w:r>
      <w:r w:rsidR="0062749E" w:rsidRPr="004722C4">
        <w:t>to consider</w:t>
      </w:r>
      <w:r w:rsidRPr="004722C4">
        <w:t xml:space="preserve"> the merger raises competition concerns. </w:t>
      </w:r>
      <w:r w:rsidR="00C36174" w:rsidRPr="004722C4">
        <w:t xml:space="preserve">The Phase II process is intended </w:t>
      </w:r>
      <w:r w:rsidR="008F303C" w:rsidRPr="004722C4">
        <w:t xml:space="preserve">for in-depth economic and legal analysis of mergers identified as most likely to be anti-competitive following the Phase I review. </w:t>
      </w:r>
      <w:r w:rsidR="00637F76" w:rsidRPr="004722C4">
        <w:t>During the</w:t>
      </w:r>
      <w:r w:rsidRPr="004722C4">
        <w:t xml:space="preserve"> Phase II review, merger parties will receive </w:t>
      </w:r>
      <w:r w:rsidR="009B28DA" w:rsidRPr="004722C4">
        <w:t xml:space="preserve">a </w:t>
      </w:r>
      <w:r w:rsidR="00540FE0" w:rsidRPr="004722C4">
        <w:t xml:space="preserve">notice of competition concerns </w:t>
      </w:r>
      <w:r w:rsidR="00C7294B" w:rsidRPr="004722C4">
        <w:t>setting out material facts</w:t>
      </w:r>
      <w:r w:rsidR="00087EA4" w:rsidRPr="004722C4">
        <w:t xml:space="preserve">, evidence, </w:t>
      </w:r>
      <w:r w:rsidR="009537FA" w:rsidRPr="004722C4">
        <w:t>and other</w:t>
      </w:r>
      <w:r w:rsidR="009537FA">
        <w:t xml:space="preserve"> information which explains the ACCC’s </w:t>
      </w:r>
      <w:r w:rsidR="00B10DBD">
        <w:t xml:space="preserve">analysis of </w:t>
      </w:r>
      <w:r w:rsidR="00087EA4">
        <w:t>potential harm</w:t>
      </w:r>
      <w:r w:rsidR="00B10DBD">
        <w:t>s</w:t>
      </w:r>
      <w:r w:rsidR="00DE1E02">
        <w:t xml:space="preserve">. </w:t>
      </w:r>
      <w:r w:rsidR="00416E93">
        <w:rPr>
          <w:rStyle w:val="normaltextrun"/>
          <w:rFonts w:cs="Calibri Light"/>
          <w:color w:val="000000"/>
          <w:szCs w:val="22"/>
          <w:shd w:val="clear" w:color="auto" w:fill="FFFFFF"/>
        </w:rPr>
        <w:t>Merger parties will have the opportunity to respond in writing and/or orally, ahead of the ACCC’s determination, and the ability to request additional time, to ensure procedural fairness. As an administrative decision-maker, there are a range of obligations that will apply to the ACCC under Australian law.</w:t>
      </w:r>
    </w:p>
    <w:p w14:paraId="0B1A5C9B" w14:textId="23D87456" w:rsidR="008B23E1" w:rsidRDefault="006E4761" w:rsidP="00457641">
      <w:r>
        <w:t xml:space="preserve">The ACCC will </w:t>
      </w:r>
      <w:r w:rsidR="00684E14">
        <w:t xml:space="preserve">publicly announce </w:t>
      </w:r>
      <w:r w:rsidR="00E2458F">
        <w:t xml:space="preserve">when it </w:t>
      </w:r>
      <w:r w:rsidR="00350441">
        <w:t>commences</w:t>
      </w:r>
      <w:r w:rsidR="00E2458F">
        <w:t xml:space="preserve"> a Phase II review, </w:t>
      </w:r>
      <w:r w:rsidR="00C53273">
        <w:t xml:space="preserve">issue a </w:t>
      </w:r>
      <w:r w:rsidR="00966262">
        <w:t>notice of competition concerns</w:t>
      </w:r>
      <w:r w:rsidR="00FA7A75">
        <w:t>,</w:t>
      </w:r>
      <w:r w:rsidR="00C53273">
        <w:t xml:space="preserve"> and </w:t>
      </w:r>
      <w:r w:rsidR="00FA7A75">
        <w:t>issue</w:t>
      </w:r>
      <w:r w:rsidR="004A06BB">
        <w:t xml:space="preserve"> </w:t>
      </w:r>
      <w:r w:rsidR="00C53273">
        <w:t xml:space="preserve">a </w:t>
      </w:r>
      <w:r w:rsidR="003376A8">
        <w:t>determination</w:t>
      </w:r>
      <w:r w:rsidR="009B28DA">
        <w:t xml:space="preserve"> (including reasons</w:t>
      </w:r>
      <w:r w:rsidR="00AE09E6">
        <w:t>,</w:t>
      </w:r>
      <w:r w:rsidR="009B28DA">
        <w:t xml:space="preserve"> commensurate with the substantive review undertaken</w:t>
      </w:r>
      <w:r w:rsidR="00AE09E6">
        <w:t>)</w:t>
      </w:r>
      <w:r w:rsidR="00C53273">
        <w:t>.</w:t>
      </w:r>
    </w:p>
    <w:p w14:paraId="37A314BB" w14:textId="1B26B664" w:rsidR="007328BA" w:rsidRDefault="000E2D4D" w:rsidP="00457641">
      <w:r>
        <w:t>If the ACCC does not make a determination in relation to a merger within a certain time period, the merger may be put into effect</w:t>
      </w:r>
      <w:r w:rsidR="00AE4052">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0341D9" w14:paraId="69EA0AB4" w14:textId="77777777" w:rsidTr="00F46D2A">
        <w:trPr>
          <w:trHeight w:val="980"/>
          <w:jc w:val="center"/>
        </w:trPr>
        <w:tc>
          <w:tcPr>
            <w:tcW w:w="1418" w:type="dxa"/>
            <w:shd w:val="clear" w:color="auto" w:fill="6B83A7" w:themeFill="accent1" w:themeFillTint="99"/>
          </w:tcPr>
          <w:p w14:paraId="5ECB27CB" w14:textId="77777777" w:rsidR="000341D9" w:rsidRDefault="000341D9">
            <w:pPr>
              <w:jc w:val="center"/>
            </w:pPr>
            <w:r>
              <w:rPr>
                <w:noProof/>
              </w:rPr>
              <w:drawing>
                <wp:inline distT="0" distB="0" distL="0" distR="0" wp14:anchorId="52A987E3" wp14:editId="704F74C3">
                  <wp:extent cx="592853" cy="592853"/>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32C27AB4" w14:textId="60953F79" w:rsidR="000341D9" w:rsidRDefault="000341D9" w:rsidP="00900542">
            <w:pPr>
              <w:pStyle w:val="BoxHeading"/>
            </w:pPr>
            <w:bookmarkStart w:id="27" w:name="_Int_prPpBUeJ"/>
            <w:r w:rsidRPr="007308C7">
              <w:t>Treasury</w:t>
            </w:r>
            <w:bookmarkEnd w:id="27"/>
            <w:r w:rsidRPr="007308C7">
              <w:t xml:space="preserve"> </w:t>
            </w:r>
            <w:r w:rsidR="00E338A7">
              <w:t>will</w:t>
            </w:r>
            <w:r w:rsidRPr="007308C7">
              <w:t xml:space="preserve"> consult on merger review timelines</w:t>
            </w:r>
            <w:r w:rsidR="00A27057">
              <w:t xml:space="preserve"> </w:t>
            </w:r>
            <w:r w:rsidR="008158EA">
              <w:t>in 2024</w:t>
            </w:r>
            <w:r w:rsidRPr="007308C7">
              <w:t>.</w:t>
            </w:r>
          </w:p>
        </w:tc>
      </w:tr>
    </w:tbl>
    <w:p w14:paraId="73958CC0" w14:textId="29DB122A" w:rsidR="00457641" w:rsidRDefault="00932F15" w:rsidP="4D4E2291">
      <w:pPr>
        <w:pStyle w:val="Heading2"/>
        <w:rPr>
          <w:b/>
          <w:bCs/>
          <w:color w:val="4D7861"/>
          <w:sz w:val="28"/>
        </w:rPr>
      </w:pPr>
      <w:bookmarkStart w:id="28" w:name="_Toc163550087"/>
      <w:bookmarkStart w:id="29" w:name="_Toc155866037"/>
      <w:bookmarkStart w:id="30" w:name="_Toc156141235"/>
      <w:bookmarkStart w:id="31" w:name="_Toc156207577"/>
      <w:r>
        <w:lastRenderedPageBreak/>
        <w:t xml:space="preserve">Simpler, </w:t>
      </w:r>
      <w:r w:rsidR="00EB3E29">
        <w:t>clearer</w:t>
      </w:r>
      <w:r w:rsidR="00C947F9">
        <w:t xml:space="preserve"> merger review</w:t>
      </w:r>
      <w:r w:rsidR="00334275">
        <w:t xml:space="preserve"> process</w:t>
      </w:r>
      <w:bookmarkEnd w:id="28"/>
      <w:r w:rsidR="001E554C">
        <w:t xml:space="preserve"> </w:t>
      </w:r>
      <w:bookmarkEnd w:id="29"/>
      <w:bookmarkEnd w:id="30"/>
      <w:bookmarkEnd w:id="31"/>
    </w:p>
    <w:p w14:paraId="4B459C7B" w14:textId="5AD645A5" w:rsidR="00457641" w:rsidRDefault="00457641" w:rsidP="00457641">
      <w:r>
        <w:t xml:space="preserve">The ACCC requires </w:t>
      </w:r>
      <w:r w:rsidR="001D1F9C">
        <w:t>sufficient</w:t>
      </w:r>
      <w:r>
        <w:t xml:space="preserve"> information </w:t>
      </w:r>
      <w:r w:rsidR="00E037AE">
        <w:t>about</w:t>
      </w:r>
      <w:r>
        <w:t xml:space="preserve"> a merger to properly undertake its review, and to efficiently and expeditiously differentiate benign mergers. Merger parties are best placed to provide information about their business, future plans and the industry.</w:t>
      </w:r>
      <w:r w:rsidR="008B242F">
        <w:t xml:space="preserve"> </w:t>
      </w:r>
    </w:p>
    <w:p w14:paraId="6FF81E6F" w14:textId="0FAC8090" w:rsidR="00EB3892" w:rsidDel="00523576" w:rsidRDefault="008B7A00" w:rsidP="00EB3892">
      <w:pPr>
        <w:pStyle w:val="Heading3"/>
      </w:pPr>
      <w:bookmarkStart w:id="32" w:name="_Toc163550088"/>
      <w:r>
        <w:rPr>
          <w:bCs/>
        </w:rPr>
        <w:t>Upfront n</w:t>
      </w:r>
      <w:r w:rsidRPr="00EB3892">
        <w:rPr>
          <w:bCs/>
        </w:rPr>
        <w:t>otification</w:t>
      </w:r>
      <w:r>
        <w:rPr>
          <w:bCs/>
        </w:rPr>
        <w:t xml:space="preserve"> requirements</w:t>
      </w:r>
      <w:bookmarkEnd w:id="32"/>
    </w:p>
    <w:p w14:paraId="5B9FA9C8" w14:textId="45E357DF" w:rsidR="00671207" w:rsidRDefault="00457641" w:rsidP="00671207">
      <w:r>
        <w:t xml:space="preserve">Calibrated upfront information requirements will ensure merger parties provide relevant information to the ACCC </w:t>
      </w:r>
      <w:r w:rsidR="0053590A">
        <w:t xml:space="preserve">and </w:t>
      </w:r>
      <w:r w:rsidR="0053590A">
        <w:rPr>
          <w:rStyle w:val="normaltextrun"/>
          <w:rFonts w:cs="Calibri Light"/>
          <w:color w:val="000000"/>
          <w:shd w:val="clear" w:color="auto" w:fill="FFFFFF"/>
        </w:rPr>
        <w:t>mitigate the need for subsequent requests and possible delay.</w:t>
      </w:r>
      <w:r>
        <w:t xml:space="preserve"> </w:t>
      </w:r>
      <w:r w:rsidR="001C3D42">
        <w:t>M</w:t>
      </w:r>
      <w:r w:rsidR="0017329D" w:rsidRPr="269749DB">
        <w:rPr>
          <w:rStyle w:val="normaltextrun"/>
          <w:rFonts w:cs="Calibri Light"/>
          <w:color w:val="000000" w:themeColor="text1"/>
        </w:rPr>
        <w:t xml:space="preserve">erger </w:t>
      </w:r>
      <w:r w:rsidRPr="269749DB">
        <w:rPr>
          <w:rStyle w:val="normaltextrun"/>
          <w:rFonts w:cs="Calibri Light"/>
          <w:color w:val="000000" w:themeColor="text1"/>
        </w:rPr>
        <w:t>parties will be required</w:t>
      </w:r>
      <w:r w:rsidRPr="269749DB">
        <w:rPr>
          <w:rStyle w:val="normaltextrun"/>
          <w:rFonts w:cs="Calibri Light"/>
          <w:color w:val="000000"/>
          <w:shd w:val="clear" w:color="auto" w:fill="FFFFFF"/>
        </w:rPr>
        <w:t xml:space="preserve"> to submit a ‘simple’ </w:t>
      </w:r>
      <w:r w:rsidR="00005426">
        <w:rPr>
          <w:rStyle w:val="normaltextrun"/>
          <w:rFonts w:cs="Calibri Light"/>
          <w:color w:val="000000"/>
          <w:shd w:val="clear" w:color="auto" w:fill="FFFFFF"/>
        </w:rPr>
        <w:t xml:space="preserve">shorter </w:t>
      </w:r>
      <w:r w:rsidRPr="269749DB">
        <w:rPr>
          <w:rStyle w:val="normaltextrun"/>
          <w:rFonts w:cs="Calibri Light"/>
          <w:color w:val="000000"/>
          <w:shd w:val="clear" w:color="auto" w:fill="FFFFFF"/>
        </w:rPr>
        <w:t xml:space="preserve">notification form for mergers unlikely to raise competition concerns; and a more detailed longer notification </w:t>
      </w:r>
      <w:r w:rsidR="00677AAC" w:rsidRPr="269749DB">
        <w:rPr>
          <w:rStyle w:val="normaltextrun"/>
          <w:rFonts w:cs="Calibri Light"/>
          <w:color w:val="000000"/>
          <w:shd w:val="clear" w:color="auto" w:fill="FFFFFF"/>
        </w:rPr>
        <w:t>form</w:t>
      </w:r>
      <w:r w:rsidRPr="269749DB">
        <w:rPr>
          <w:rStyle w:val="normaltextrun"/>
          <w:rFonts w:cs="Calibri Light"/>
          <w:color w:val="000000"/>
          <w:shd w:val="clear" w:color="auto" w:fill="FFFFFF"/>
        </w:rPr>
        <w:t xml:space="preserve"> for others. </w:t>
      </w:r>
      <w:r w:rsidR="00671207">
        <w:rPr>
          <w:rStyle w:val="normaltextrun"/>
          <w:rFonts w:cs="Calibri Light"/>
          <w:color w:val="000000"/>
          <w:shd w:val="clear" w:color="auto" w:fill="FFFFFF"/>
        </w:rPr>
        <w:t xml:space="preserve">As administrative expert bodies, the ACCC, and the Tribunal on review, will not require information to be presented in a legally admissible form. This promotes focus on the substance rather than form and reduces cost. </w:t>
      </w:r>
    </w:p>
    <w:p w14:paraId="2FC7313C" w14:textId="79D9400B" w:rsidR="00A21579" w:rsidRDefault="00A21579" w:rsidP="00457641">
      <w:pPr>
        <w:rPr>
          <w:rStyle w:val="normaltextrun"/>
          <w:rFonts w:cs="Calibri Light"/>
          <w:color w:val="000000"/>
          <w:shd w:val="clear" w:color="auto" w:fill="FFFFFF"/>
        </w:rPr>
      </w:pPr>
      <w:r>
        <w:t xml:space="preserve">Senior executives or directors of merger parties will need to certify or attest that the information provided is true, accurate, </w:t>
      </w:r>
      <w:r w:rsidR="00DB17C3">
        <w:t>complete</w:t>
      </w:r>
      <w:r w:rsidR="00FC1EBD">
        <w:t xml:space="preserve"> </w:t>
      </w:r>
      <w:r>
        <w:t>and correct</w:t>
      </w:r>
      <w:r w:rsidR="00DB17C3">
        <w:t xml:space="preserve">. </w:t>
      </w:r>
      <w:r w:rsidR="00173675">
        <w:t xml:space="preserve">Civil and criminal penalties </w:t>
      </w:r>
      <w:r w:rsidR="00DB17C3">
        <w:t xml:space="preserve">will apply, </w:t>
      </w:r>
      <w:r>
        <w:t>including director disqualification.</w:t>
      </w:r>
    </w:p>
    <w:p w14:paraId="73DE538F" w14:textId="6736D5F2" w:rsidR="00E73BB6" w:rsidRPr="00386A1C" w:rsidRDefault="00C54892" w:rsidP="00457641">
      <w:pPr>
        <w:rPr>
          <w:rStyle w:val="normaltextrun"/>
        </w:rPr>
      </w:pPr>
      <w:r>
        <w:t>T</w:t>
      </w:r>
      <w:r w:rsidR="00386A1C">
        <w:t xml:space="preserve">he ACCC </w:t>
      </w:r>
      <w:r>
        <w:t xml:space="preserve">will </w:t>
      </w:r>
      <w:r w:rsidR="00386A1C">
        <w:t xml:space="preserve">consult on the </w:t>
      </w:r>
      <w:r w:rsidR="001F4C07">
        <w:t xml:space="preserve">form of </w:t>
      </w:r>
      <w:r w:rsidR="00386A1C">
        <w:t xml:space="preserve">notification </w:t>
      </w:r>
      <w:r w:rsidR="001F4C07">
        <w:t>to be required in 2025</w:t>
      </w:r>
      <w:r w:rsidR="00386A1C">
        <w:t xml:space="preserve">. The ACCC will also issue, following consultation, process guidelines to assist merger parties </w:t>
      </w:r>
      <w:r w:rsidR="0097473A">
        <w:t xml:space="preserve">and interested stakeholders </w:t>
      </w:r>
      <w:r w:rsidR="00B85F9E">
        <w:t xml:space="preserve">to </w:t>
      </w:r>
      <w:r w:rsidR="00386A1C">
        <w:t>engage with the merger review process</w:t>
      </w:r>
      <w:r w:rsidR="00BB7136">
        <w:t xml:space="preserve"> (</w:t>
      </w:r>
      <w:r w:rsidR="00386A1C">
        <w:t xml:space="preserve">including </w:t>
      </w:r>
      <w:r w:rsidR="006824AA">
        <w:t>pre-notification</w:t>
      </w:r>
      <w:r w:rsidR="00BB7136">
        <w:t xml:space="preserve">) and associated </w:t>
      </w:r>
      <w:r w:rsidR="00386A1C">
        <w:t>procedural safeguards.</w:t>
      </w:r>
    </w:p>
    <w:p w14:paraId="6BFDA9A0" w14:textId="04204253" w:rsidR="0075416D" w:rsidRPr="00B7185A" w:rsidRDefault="0075416D" w:rsidP="00726318">
      <w:pPr>
        <w:pStyle w:val="Heading4"/>
      </w:pPr>
      <w:r w:rsidRPr="00B7185A">
        <w:t>Evidence gathering</w:t>
      </w:r>
      <w:r w:rsidR="00D71164" w:rsidRPr="00B7185A">
        <w:t xml:space="preserve"> </w:t>
      </w:r>
      <w:bookmarkStart w:id="33" w:name="_Int_1q4OmnHd"/>
      <w:r w:rsidR="00D71164" w:rsidRPr="00B7185A">
        <w:t>powers</w:t>
      </w:r>
      <w:bookmarkEnd w:id="33"/>
    </w:p>
    <w:p w14:paraId="7E53468F" w14:textId="581E0C59" w:rsidR="00CE5365" w:rsidRDefault="00457641" w:rsidP="0085105A">
      <w:r>
        <w:t>The ACCC will be able to request further</w:t>
      </w:r>
      <w:r w:rsidR="00D71164">
        <w:t xml:space="preserve"> evidence and</w:t>
      </w:r>
      <w:r>
        <w:t xml:space="preserve"> information from merger parties </w:t>
      </w:r>
      <w:r w:rsidR="001215A9">
        <w:t xml:space="preserve">and relevant third parties </w:t>
      </w:r>
      <w:r>
        <w:t>during its review. Consequential amendments will be made so that the ACCC’s formal information gathering powers (</w:t>
      </w:r>
      <w:r w:rsidR="006C40D6">
        <w:t xml:space="preserve">currently mainly in </w:t>
      </w:r>
      <w:r>
        <w:t xml:space="preserve">section 155 of the CCA) </w:t>
      </w:r>
      <w:r w:rsidRPr="002C1A97">
        <w:t>will also be available</w:t>
      </w:r>
      <w:r w:rsidR="00406772">
        <w:t xml:space="preserve"> to enable the ACCC to gather </w:t>
      </w:r>
      <w:r w:rsidR="00A52B44">
        <w:t xml:space="preserve">all relevant </w:t>
      </w:r>
      <w:r w:rsidR="00406772">
        <w:t>information and evidence</w:t>
      </w:r>
      <w:r w:rsidR="0085105A">
        <w:t xml:space="preserve">, including from </w:t>
      </w:r>
      <w:r w:rsidR="004747C8">
        <w:t>p</w:t>
      </w:r>
      <w:r w:rsidR="001A1296">
        <w:t>eople</w:t>
      </w:r>
      <w:r w:rsidR="004747C8">
        <w:t xml:space="preserve"> carrying on a business in Australia but who are not present in Australia</w:t>
      </w:r>
      <w:r w:rsidR="0085105A">
        <w:t>.</w:t>
      </w:r>
      <w:r w:rsidRPr="002C1A97">
        <w:t xml:space="preserve"> </w:t>
      </w:r>
    </w:p>
    <w:p w14:paraId="16A7E3E9" w14:textId="2AE28A25" w:rsidR="0075416D" w:rsidRPr="00D71164" w:rsidRDefault="0075416D" w:rsidP="00726318">
      <w:pPr>
        <w:pStyle w:val="Heading3"/>
        <w:rPr>
          <w:bCs/>
        </w:rPr>
      </w:pPr>
      <w:bookmarkStart w:id="34" w:name="_Toc163550089"/>
      <w:r w:rsidRPr="008E1816">
        <w:rPr>
          <w:bCs/>
        </w:rPr>
        <w:t>Fees</w:t>
      </w:r>
      <w:bookmarkEnd w:id="34"/>
    </w:p>
    <w:p w14:paraId="352D8B9C" w14:textId="35F29110" w:rsidR="00950819" w:rsidRDefault="00457641" w:rsidP="00457641">
      <w:r>
        <w:t>All merger notifications will be accompanied by a fee. Cost recovery principles prescribe that, as an identifiable group creating a specific demand for a specific regulatory activity, merger parties should pay fees. The fees should reflect the resources required by the ACCC to efficiently carry out the review of a merger. Indicatively, Treasury expect</w:t>
      </w:r>
      <w:r w:rsidR="00097ECD">
        <w:t>s</w:t>
      </w:r>
      <w:r>
        <w:t xml:space="preserve"> this to be around </w:t>
      </w:r>
      <w:r w:rsidRPr="00273725">
        <w:t>$</w:t>
      </w:r>
      <w:r w:rsidR="006B3DBA">
        <w:t>5</w:t>
      </w:r>
      <w:r w:rsidRPr="00273725">
        <w:t>0,000</w:t>
      </w:r>
      <w:r w:rsidR="00540047">
        <w:t>–</w:t>
      </w:r>
      <w:r w:rsidR="00291E16">
        <w:t>100,000</w:t>
      </w:r>
      <w:r>
        <w:t xml:space="preserve"> for most mergers</w:t>
      </w:r>
      <w:r w:rsidR="00C46036">
        <w:t xml:space="preserve">. </w:t>
      </w:r>
      <w:r w:rsidR="00A56DFE">
        <w:t xml:space="preserve">An exemption from fees will be available for small business so that the fees are not </w:t>
      </w:r>
      <w:r w:rsidR="00C46036">
        <w:t>a disproportionate burden for those businesses</w:t>
      </w:r>
      <w:r w:rsidR="0067163F">
        <w:t>.</w:t>
      </w:r>
      <w:r w:rsidR="00EB065D">
        <w:t xml:space="preserve"> </w:t>
      </w:r>
      <w:r w:rsidR="00291E16">
        <w:t>The fees</w:t>
      </w:r>
      <w:r w:rsidR="00C46036">
        <w:t xml:space="preserve"> </w:t>
      </w:r>
      <w:r w:rsidR="00671207">
        <w:t xml:space="preserve">will ensure the ACCC is properly resourced to undertake </w:t>
      </w:r>
      <w:r w:rsidR="00EB065D">
        <w:t xml:space="preserve">its expert administrative decision-making role.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B60BCE" w14:paraId="74B42B17" w14:textId="77777777" w:rsidTr="1B3E9711">
        <w:trPr>
          <w:trHeight w:val="778"/>
          <w:jc w:val="center"/>
        </w:trPr>
        <w:tc>
          <w:tcPr>
            <w:tcW w:w="1418" w:type="dxa"/>
            <w:shd w:val="clear" w:color="auto" w:fill="6B83A7" w:themeFill="accent1" w:themeFillTint="99"/>
          </w:tcPr>
          <w:p w14:paraId="3FD97B33" w14:textId="77777777" w:rsidR="00B60BCE" w:rsidRDefault="00B60BCE">
            <w:pPr>
              <w:jc w:val="center"/>
            </w:pPr>
            <w:r>
              <w:rPr>
                <w:noProof/>
              </w:rPr>
              <w:drawing>
                <wp:inline distT="0" distB="0" distL="0" distR="0" wp14:anchorId="3EE60F4F" wp14:editId="333F61B0">
                  <wp:extent cx="592853" cy="592853"/>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155839F5" w14:textId="59F35398" w:rsidR="00B60BCE" w:rsidRDefault="6C6A7C0E" w:rsidP="00900542">
            <w:pPr>
              <w:pStyle w:val="BoxHeading"/>
            </w:pPr>
            <w:bookmarkStart w:id="35" w:name="_Int_xUGqB62U"/>
            <w:r>
              <w:t>Treasury</w:t>
            </w:r>
            <w:bookmarkEnd w:id="35"/>
            <w:r>
              <w:t xml:space="preserve"> </w:t>
            </w:r>
            <w:r w:rsidR="00E338A7">
              <w:t>will</w:t>
            </w:r>
            <w:r>
              <w:t xml:space="preserve"> consult on fees </w:t>
            </w:r>
            <w:r w:rsidR="00726318">
              <w:t>in 2024</w:t>
            </w:r>
            <w:r>
              <w:t>.</w:t>
            </w:r>
          </w:p>
        </w:tc>
      </w:tr>
    </w:tbl>
    <w:p w14:paraId="61BCA7F5" w14:textId="1352C8B9" w:rsidR="001F1595" w:rsidRDefault="00932F15" w:rsidP="00932F15">
      <w:pPr>
        <w:pStyle w:val="Heading3"/>
        <w:rPr>
          <w:b w:val="0"/>
          <w:bCs/>
          <w:color w:val="4D7861"/>
        </w:rPr>
      </w:pPr>
      <w:bookmarkStart w:id="36" w:name="_Toc163550090"/>
      <w:bookmarkStart w:id="37" w:name="_Toc155866041"/>
      <w:bookmarkStart w:id="38" w:name="_Toc156141239"/>
      <w:bookmarkStart w:id="39" w:name="_Toc156207581"/>
      <w:r>
        <w:t>T</w:t>
      </w:r>
      <w:r w:rsidR="001F1595" w:rsidRPr="00932F15">
        <w:rPr>
          <w:bCs/>
        </w:rPr>
        <w:t>ransparen</w:t>
      </w:r>
      <w:r w:rsidR="001E554C" w:rsidRPr="00932F15">
        <w:rPr>
          <w:bCs/>
        </w:rPr>
        <w:t>cy</w:t>
      </w:r>
      <w:bookmarkEnd w:id="36"/>
      <w:r w:rsidR="001E554C">
        <w:t xml:space="preserve"> </w:t>
      </w:r>
    </w:p>
    <w:p w14:paraId="1D84570B" w14:textId="77777777" w:rsidR="001F1595" w:rsidDel="00523576" w:rsidRDefault="001F1595" w:rsidP="001F1595">
      <w:r>
        <w:t xml:space="preserve">Transparency is important for ensuring fairness, balancing the interests of the merger parties, interested stakeholders and the ACCC. Transparency also reduces uncertainty, assisting the predictability around processes and public understanding of how merger laws are applied. </w:t>
      </w:r>
    </w:p>
    <w:p w14:paraId="790C1031" w14:textId="77777777" w:rsidR="001F1595" w:rsidRDefault="001F1595" w:rsidP="001F1595">
      <w:r>
        <w:lastRenderedPageBreak/>
        <w:t xml:space="preserve">The ACCC is accountable to the Australian community for its review of mergers: it must do so having regard not only to the interests of merger parties, but also interested stakeholders, consumers and the broader community. </w:t>
      </w:r>
    </w:p>
    <w:p w14:paraId="5ED627C7" w14:textId="77777777" w:rsidR="001F1595" w:rsidRDefault="001F1595" w:rsidP="001F1595">
      <w:r>
        <w:t>All mergers considered by the ACCC will be listed on an ACCC public register, with brief information including the names of the merger parties, a short description of the transaction and affected products and/or services, and review timeline. Merger parties will be able to engage in confidential pre-notification discussions as to the information to be provided to the ACCC but will no longer be able to receive an ‘informal view’ on a proposed merger. The ACCC’s ability to engage with stakeholders and the ability for stakeholders to bring their concerns about a merger to the attention of the ACCC is significantly impacted if merger reviews are confidential.</w:t>
      </w:r>
    </w:p>
    <w:p w14:paraId="7A6E74FC" w14:textId="05362062" w:rsidR="001F1595" w:rsidRDefault="001F1595" w:rsidP="001F1595">
      <w:r w:rsidRPr="00072CD6">
        <w:t>The ACCC will set out</w:t>
      </w:r>
      <w:r w:rsidR="008D651C">
        <w:t xml:space="preserve"> its</w:t>
      </w:r>
      <w:r w:rsidRPr="00072CD6">
        <w:t xml:space="preserve"> findings on material facts, with reference to the evidence or other material on which those findings were based</w:t>
      </w:r>
      <w:r>
        <w:t>,</w:t>
      </w:r>
      <w:r w:rsidRPr="00072CD6">
        <w:t xml:space="preserve"> and the reasons for </w:t>
      </w:r>
      <w:r>
        <w:t>all</w:t>
      </w:r>
      <w:r w:rsidRPr="00072CD6">
        <w:t xml:space="preserve"> determinations, commensurate</w:t>
      </w:r>
      <w:r>
        <w:t xml:space="preserve"> with the substantive review undertaken. </w:t>
      </w:r>
      <w:r w:rsidR="005B1ADA">
        <w:t>While the ACCC will not be bound by previous determinations, t</w:t>
      </w:r>
      <w:r>
        <w:t>his will facilitate transparency and predictability in the administrative system</w:t>
      </w:r>
      <w:r w:rsidR="005B1ADA">
        <w:t>. It will also</w:t>
      </w:r>
      <w:r>
        <w:t xml:space="preserve"> shape the boundaries of merger control over time as a body of previous determinations, including the economic and legal reasoning, will develop</w:t>
      </w:r>
      <w:r w:rsidR="005B1ADA">
        <w:t xml:space="preserve"> to guide stakeholders</w:t>
      </w:r>
      <w:r>
        <w:t>. Provision will also be made to ensure confidential information is appropriately protected.</w:t>
      </w:r>
    </w:p>
    <w:p w14:paraId="51DEBECA" w14:textId="5AB4E6DF" w:rsidR="00457641" w:rsidRPr="00DD62B1" w:rsidRDefault="008B7A00" w:rsidP="00EE32B8">
      <w:pPr>
        <w:pStyle w:val="Heading2"/>
        <w:spacing w:before="480"/>
      </w:pPr>
      <w:bookmarkStart w:id="40" w:name="_Toc163550091"/>
      <w:r>
        <w:t>Empowering the ACCC to protect competition and consumers</w:t>
      </w:r>
      <w:bookmarkEnd w:id="37"/>
      <w:bookmarkEnd w:id="38"/>
      <w:bookmarkEnd w:id="39"/>
      <w:bookmarkEnd w:id="40"/>
    </w:p>
    <w:p w14:paraId="27F23B67" w14:textId="544ABB68" w:rsidR="008B7A00" w:rsidRDefault="008B7A00" w:rsidP="00726318">
      <w:pPr>
        <w:pStyle w:val="Heading3"/>
        <w:rPr>
          <w:rFonts w:eastAsia="Calibri Light"/>
        </w:rPr>
      </w:pPr>
      <w:bookmarkStart w:id="41" w:name="_Toc163550092"/>
      <w:r>
        <w:rPr>
          <w:rFonts w:eastAsia="Calibri Light"/>
        </w:rPr>
        <w:t>Competition test</w:t>
      </w:r>
      <w:bookmarkEnd w:id="41"/>
    </w:p>
    <w:p w14:paraId="4E41B661" w14:textId="674AAE28" w:rsidR="00457641" w:rsidRPr="009546AA" w:rsidRDefault="0039549F" w:rsidP="00457641">
      <w:pPr>
        <w:rPr>
          <w:rFonts w:eastAsia="Calibri Light"/>
        </w:rPr>
      </w:pPr>
      <w:r>
        <w:rPr>
          <w:rFonts w:eastAsia="Calibri Light"/>
        </w:rPr>
        <w:t>T</w:t>
      </w:r>
      <w:r w:rsidR="00457641" w:rsidRPr="009546AA">
        <w:rPr>
          <w:rFonts w:eastAsia="Calibri Light"/>
        </w:rPr>
        <w:t>he ACCC must</w:t>
      </w:r>
      <w:r w:rsidR="004B0348">
        <w:rPr>
          <w:rFonts w:eastAsia="Calibri Light"/>
        </w:rPr>
        <w:t xml:space="preserve"> permit a merger to be put into effect </w:t>
      </w:r>
      <w:r w:rsidR="00457641" w:rsidRPr="009546AA">
        <w:rPr>
          <w:rFonts w:eastAsia="Calibri Light"/>
        </w:rPr>
        <w:t>unless the ACCC reasonably believes that the merger would have the effect, or be likely to have the effect, of substantially lessening competition</w:t>
      </w:r>
      <w:r w:rsidR="00CB657D" w:rsidRPr="00CB657D">
        <w:rPr>
          <w:rFonts w:eastAsia="Calibri Light"/>
        </w:rPr>
        <w:t xml:space="preserve"> </w:t>
      </w:r>
      <w:r w:rsidR="00CB657D" w:rsidRPr="009546AA">
        <w:rPr>
          <w:rFonts w:eastAsia="Calibri Light"/>
        </w:rPr>
        <w:t>in any market</w:t>
      </w:r>
      <w:r w:rsidR="00DE3A08">
        <w:rPr>
          <w:rFonts w:eastAsia="Calibri Light"/>
        </w:rPr>
        <w:t xml:space="preserve">, including </w:t>
      </w:r>
      <w:r w:rsidR="00C26C41">
        <w:rPr>
          <w:rFonts w:eastAsia="Calibri Light"/>
        </w:rPr>
        <w:t xml:space="preserve">(but not exclusively) </w:t>
      </w:r>
      <w:r w:rsidR="00DE3A08">
        <w:rPr>
          <w:rFonts w:eastAsia="Calibri Light"/>
        </w:rPr>
        <w:t xml:space="preserve">if </w:t>
      </w:r>
      <w:r w:rsidR="00710928">
        <w:rPr>
          <w:rFonts w:eastAsia="Calibri Light"/>
        </w:rPr>
        <w:t xml:space="preserve">the merger </w:t>
      </w:r>
      <w:r w:rsidR="001D07D0">
        <w:t>creates</w:t>
      </w:r>
      <w:r w:rsidR="00234E1D">
        <w:t>, strengthen</w:t>
      </w:r>
      <w:r w:rsidR="001D07D0">
        <w:t>s</w:t>
      </w:r>
      <w:r w:rsidR="00234E1D">
        <w:t xml:space="preserve"> or entrench</w:t>
      </w:r>
      <w:r w:rsidR="001D07D0">
        <w:t>es</w:t>
      </w:r>
      <w:r w:rsidR="00457641" w:rsidRPr="009546AA">
        <w:rPr>
          <w:rFonts w:eastAsia="Calibri Light"/>
        </w:rPr>
        <w:t xml:space="preserve"> a position of substantial market power</w:t>
      </w:r>
      <w:r w:rsidR="007B0609">
        <w:rPr>
          <w:rFonts w:eastAsia="Calibri Light"/>
        </w:rPr>
        <w:t xml:space="preserve"> </w:t>
      </w:r>
      <w:r w:rsidR="007B0609" w:rsidRPr="009546AA">
        <w:rPr>
          <w:rFonts w:eastAsia="Calibri Light"/>
        </w:rPr>
        <w:t>in any market</w:t>
      </w:r>
      <w:r w:rsidR="00457641" w:rsidRPr="009546AA">
        <w:rPr>
          <w:rFonts w:eastAsia="Calibri Light"/>
        </w:rPr>
        <w:t xml:space="preserve">. </w:t>
      </w:r>
    </w:p>
    <w:p w14:paraId="25B309EB" w14:textId="62C5BD3D" w:rsidR="00D418E3" w:rsidRPr="009546AA" w:rsidRDefault="00142112" w:rsidP="00457641">
      <w:pPr>
        <w:rPr>
          <w:rFonts w:eastAsia="Calibri Light"/>
        </w:rPr>
      </w:pPr>
      <w:r>
        <w:rPr>
          <w:rFonts w:eastAsia="Calibri Light"/>
        </w:rPr>
        <w:t xml:space="preserve">The substantive ‘substantial lessening of competition’ analysis requires consideration of the closeness of competition between the merger parties, to understand what is lost as a result of the merger. </w:t>
      </w:r>
      <w:r w:rsidR="00582BF9">
        <w:rPr>
          <w:rFonts w:eastAsia="Calibri Light"/>
        </w:rPr>
        <w:t>T</w:t>
      </w:r>
      <w:r w:rsidR="00D418E3">
        <w:rPr>
          <w:rFonts w:eastAsia="Calibri Light"/>
        </w:rPr>
        <w:t xml:space="preserve">he inclusion of </w:t>
      </w:r>
      <w:r w:rsidR="004B0348">
        <w:rPr>
          <w:rFonts w:eastAsia="Calibri Light"/>
        </w:rPr>
        <w:t>‘creates, strengthens or entrenches a position of substantial market power’ emphasises the i</w:t>
      </w:r>
      <w:r w:rsidR="00FA0183">
        <w:rPr>
          <w:rFonts w:eastAsia="Calibri Light"/>
        </w:rPr>
        <w:t>mportance of considering</w:t>
      </w:r>
      <w:r w:rsidR="004B0348">
        <w:rPr>
          <w:rFonts w:eastAsia="Calibri Light"/>
        </w:rPr>
        <w:t xml:space="preserve"> the competitive structure of the market, in the context of the overall assessment of the effects of the merger on competition. </w:t>
      </w:r>
    </w:p>
    <w:p w14:paraId="3F453942" w14:textId="59F3F7E3" w:rsidR="00E83B24" w:rsidRDefault="00D7501C" w:rsidP="00E83B24">
      <w:r w:rsidRPr="00231F87">
        <w:t xml:space="preserve">To respond to concerns regarding serial or creeping acquisitions and </w:t>
      </w:r>
      <w:r w:rsidR="00A14920" w:rsidRPr="00231F87">
        <w:t xml:space="preserve">roll up </w:t>
      </w:r>
      <w:r w:rsidR="005B37C7" w:rsidRPr="00231F87">
        <w:t>strategies</w:t>
      </w:r>
      <w:r w:rsidRPr="00231F87">
        <w:t xml:space="preserve">, </w:t>
      </w:r>
      <w:r w:rsidR="77594D32" w:rsidRPr="00231F87">
        <w:t xml:space="preserve">the cumulative effect of </w:t>
      </w:r>
      <w:r w:rsidRPr="00231F87">
        <w:t xml:space="preserve">all mergers within the previous </w:t>
      </w:r>
      <w:r w:rsidR="00204733" w:rsidRPr="00231F87">
        <w:t>three</w:t>
      </w:r>
      <w:r w:rsidRPr="00231F87">
        <w:t xml:space="preserve"> years by the </w:t>
      </w:r>
      <w:r w:rsidR="002D3D60">
        <w:t>merger parties</w:t>
      </w:r>
      <w:r w:rsidRPr="00231F87">
        <w:t xml:space="preserve"> may be considered as part of the </w:t>
      </w:r>
      <w:r w:rsidR="4652AC19" w:rsidRPr="00231F87">
        <w:t>assessment</w:t>
      </w:r>
      <w:r w:rsidRPr="00231F87">
        <w:t xml:space="preserve"> of the notifi</w:t>
      </w:r>
      <w:r w:rsidR="16CB8239" w:rsidRPr="00231F87">
        <w:t>ed</w:t>
      </w:r>
      <w:r w:rsidRPr="00231F87">
        <w:t xml:space="preserve"> merger, whether or not those mergers were themselves </w:t>
      </w:r>
      <w:r w:rsidR="00F06A32" w:rsidRPr="00231F87">
        <w:t xml:space="preserve">individually </w:t>
      </w:r>
      <w:r w:rsidRPr="00231F87">
        <w:t>notifiable.</w:t>
      </w:r>
      <w:r>
        <w:t xml:space="preserve"> </w:t>
      </w:r>
      <w:r w:rsidR="00E83B24">
        <w:t xml:space="preserve">This </w:t>
      </w:r>
      <w:r w:rsidR="0040003C">
        <w:t xml:space="preserve">is a targeted measure to </w:t>
      </w:r>
      <w:r w:rsidR="003135D4">
        <w:t>address</w:t>
      </w:r>
      <w:r w:rsidR="0040003C">
        <w:t xml:space="preserve"> </w:t>
      </w:r>
      <w:r w:rsidR="00D35F87">
        <w:t xml:space="preserve">concerns </w:t>
      </w:r>
      <w:r w:rsidR="003F26F8">
        <w:t xml:space="preserve">that </w:t>
      </w:r>
      <w:r w:rsidR="00421ADA">
        <w:t xml:space="preserve">some </w:t>
      </w:r>
      <w:r w:rsidR="003F26F8">
        <w:t xml:space="preserve">businesses are engaging in </w:t>
      </w:r>
      <w:r w:rsidR="009F43FF">
        <w:t xml:space="preserve">anti-competitive </w:t>
      </w:r>
      <w:r w:rsidR="003F26F8">
        <w:t>rol</w:t>
      </w:r>
      <w:r w:rsidR="00421ADA">
        <w:t>l up strategies</w:t>
      </w:r>
      <w:r w:rsidR="009F43FF">
        <w:t xml:space="preserve"> that increase prices and reduce quality and choice for </w:t>
      </w:r>
      <w:r w:rsidR="000E0841">
        <w:t>consumers yet</w:t>
      </w:r>
      <w:r w:rsidR="00D35F87">
        <w:t xml:space="preserve"> </w:t>
      </w:r>
      <w:r w:rsidR="00E24ACF" w:rsidRPr="1F67F2A6">
        <w:rPr>
          <w:rFonts w:eastAsia="Calibri Light"/>
        </w:rPr>
        <w:t>minimise unintended impacts on Australia’s vibrant start-up and small-and-medium enterprise sector.</w:t>
      </w:r>
      <w:r w:rsidR="0040003C">
        <w:t xml:space="preserve"> </w:t>
      </w:r>
      <w:r w:rsidR="00CC1C7D">
        <w:t xml:space="preserve">Three years is considered an appropriate </w:t>
      </w:r>
      <w:r w:rsidR="00BC0189">
        <w:t xml:space="preserve">reference </w:t>
      </w:r>
      <w:r w:rsidR="00CC1C7D">
        <w:t xml:space="preserve">period to </w:t>
      </w:r>
      <w:r w:rsidR="006F636A">
        <w:t>capture strategic business behaviour</w:t>
      </w:r>
      <w:r w:rsidR="002420DB">
        <w:t xml:space="preserve"> and take account of </w:t>
      </w:r>
      <w:r w:rsidR="00CB50A7">
        <w:t>dynamic conditions of competition</w:t>
      </w:r>
      <w:r w:rsidR="00CB09B5">
        <w:t xml:space="preserve"> in</w:t>
      </w:r>
      <w:r w:rsidR="00CB50A7">
        <w:t xml:space="preserve"> markets</w:t>
      </w:r>
      <w:r w:rsidR="00BC0189">
        <w:t>.</w:t>
      </w:r>
    </w:p>
    <w:p w14:paraId="2A17FD5C" w14:textId="3DAED85C" w:rsidR="00457641" w:rsidRPr="00384D25" w:rsidRDefault="00457641" w:rsidP="00457641">
      <w:r>
        <w:t xml:space="preserve">The test will </w:t>
      </w:r>
      <w:r w:rsidRPr="00384D25">
        <w:t xml:space="preserve">also be supplemented by </w:t>
      </w:r>
      <w:r w:rsidR="00384D25" w:rsidRPr="00384D25">
        <w:t>principles</w:t>
      </w:r>
      <w:r w:rsidRPr="00384D25">
        <w:t>, replacing the ‘merger factors’ currently in section 50(3) of the CCA. In making its determination the ACCC will be required, to the extent possible, to give effect to the object of the Act and take into account considerations such as:</w:t>
      </w:r>
    </w:p>
    <w:p w14:paraId="755F746E" w14:textId="77AF0CCC" w:rsidR="00457641" w:rsidRPr="00384D25" w:rsidRDefault="00457641" w:rsidP="00457641">
      <w:pPr>
        <w:pStyle w:val="Bullet"/>
        <w:numPr>
          <w:ilvl w:val="0"/>
          <w:numId w:val="33"/>
        </w:numPr>
      </w:pPr>
      <w:r w:rsidRPr="00384D25">
        <w:t>the need to maintain and develop effective competition within markets in view of, among other things, the structure of all the markets concerned</w:t>
      </w:r>
      <w:r w:rsidR="00B4599D" w:rsidRPr="00384D25">
        <w:t xml:space="preserve"> and the conditions for c</w:t>
      </w:r>
      <w:r w:rsidR="00940C4D" w:rsidRPr="00384D25">
        <w:t>ompetition</w:t>
      </w:r>
      <w:r w:rsidRPr="00384D25">
        <w:t xml:space="preserve">, and the actual or potential competition from </w:t>
      </w:r>
      <w:r w:rsidR="00384D25" w:rsidRPr="00384D25">
        <w:t xml:space="preserve">businesses </w:t>
      </w:r>
      <w:r w:rsidRPr="00384D25">
        <w:t>carrying on business in Australia whether located in Australia or elsewhere; and</w:t>
      </w:r>
    </w:p>
    <w:p w14:paraId="05F451DB" w14:textId="118AE3FA" w:rsidR="00A306ED" w:rsidRPr="00384D25" w:rsidRDefault="00457641">
      <w:pPr>
        <w:pStyle w:val="Bullet"/>
        <w:numPr>
          <w:ilvl w:val="0"/>
          <w:numId w:val="33"/>
        </w:numPr>
      </w:pPr>
      <w:r w:rsidRPr="00384D25">
        <w:lastRenderedPageBreak/>
        <w:t xml:space="preserve">the market position of the </w:t>
      </w:r>
      <w:r w:rsidR="00241F8E">
        <w:t>businesses</w:t>
      </w:r>
      <w:r w:rsidR="00241F8E" w:rsidRPr="00384D25">
        <w:t xml:space="preserve"> </w:t>
      </w:r>
      <w:r w:rsidRPr="00384D25">
        <w:t xml:space="preserve">concerned and their economic and financial power, </w:t>
      </w:r>
      <w:r w:rsidR="005B1ADA" w:rsidRPr="00384D25">
        <w:t xml:space="preserve">including commercial relationships, </w:t>
      </w:r>
      <w:r w:rsidRPr="00384D25">
        <w:t>the alternatives available to suppliers and users, their access to supplies</w:t>
      </w:r>
      <w:r w:rsidR="00795F39" w:rsidRPr="00384D25">
        <w:t xml:space="preserve">, </w:t>
      </w:r>
      <w:r w:rsidR="00CE3FF4" w:rsidRPr="00384D25">
        <w:t xml:space="preserve">inputs including </w:t>
      </w:r>
      <w:r w:rsidR="00795F39" w:rsidRPr="00384D25">
        <w:t>data,</w:t>
      </w:r>
      <w:r w:rsidRPr="00384D25">
        <w:t xml:space="preserve"> or markets, any barriers to entry, supply and demand trends for the relevant goods and services, the interests of the intermediate and ultimate consumers, and the development of technical and economic progress provided that it is to consumers' advantage and does not form an obstacle to competition.</w:t>
      </w:r>
    </w:p>
    <w:p w14:paraId="418F1975" w14:textId="199884A6" w:rsidR="00AA54C7" w:rsidRPr="00F04E98" w:rsidRDefault="00DE6502" w:rsidP="00D70589">
      <w:pPr>
        <w:rPr>
          <w:rFonts w:eastAsia="Calibri Light"/>
        </w:rPr>
      </w:pPr>
      <w:r w:rsidRPr="00384D25">
        <w:t xml:space="preserve">The </w:t>
      </w:r>
      <w:r w:rsidR="00384D25" w:rsidRPr="00384D25">
        <w:t xml:space="preserve">principles </w:t>
      </w:r>
      <w:r w:rsidRPr="00384D25">
        <w:t xml:space="preserve">are intended to assist the ACCC in its role as an administrative decision-maker and ensure explicit emphasis </w:t>
      </w:r>
      <w:r w:rsidR="00481A8A" w:rsidRPr="00384D25">
        <w:t>is</w:t>
      </w:r>
      <w:r w:rsidRPr="00384D25">
        <w:t xml:space="preserve"> placed on economic methodology and </w:t>
      </w:r>
      <w:r w:rsidR="003A39B7" w:rsidRPr="00384D25">
        <w:t>analysi</w:t>
      </w:r>
      <w:r w:rsidR="003D16AF" w:rsidRPr="00384D25">
        <w:t>s of competitive effects</w:t>
      </w:r>
      <w:r w:rsidRPr="00384D25">
        <w:t>.</w:t>
      </w:r>
      <w:r w:rsidR="003D16AF" w:rsidRPr="00384D25">
        <w:t xml:space="preserve"> </w:t>
      </w:r>
      <w:r w:rsidR="002B13FC" w:rsidRPr="00384D25">
        <w:t xml:space="preserve">The </w:t>
      </w:r>
      <w:r w:rsidR="00384D25" w:rsidRPr="00384D25">
        <w:t>principles</w:t>
      </w:r>
      <w:r w:rsidR="00384D25">
        <w:t xml:space="preserve"> </w:t>
      </w:r>
      <w:r w:rsidR="002B13FC">
        <w:t xml:space="preserve">also ensure the competitive effects of related agreements </w:t>
      </w:r>
      <w:r w:rsidR="0060071C">
        <w:t>by</w:t>
      </w:r>
      <w:r w:rsidR="002B13FC">
        <w:t xml:space="preserve"> the merger parties may be taken into account in the ACCC’s assessment. </w:t>
      </w:r>
      <w:r w:rsidR="00AA54C7">
        <w:t xml:space="preserve">The specific conditions of competition that would prevail absent the merger </w:t>
      </w:r>
      <w:r w:rsidR="00726318">
        <w:t>will be</w:t>
      </w:r>
      <w:r w:rsidR="00AA54C7">
        <w:t xml:space="preserve"> considered as part of the substantive competitive assessment. This recognises both the limitations of inherently uncertain counterfactuals and their use as a tool to consider prospective effects.</w:t>
      </w:r>
    </w:p>
    <w:p w14:paraId="29105265" w14:textId="3D40612F" w:rsidR="003A27CE" w:rsidRDefault="008F7F7F" w:rsidP="00405AC9">
      <w:r>
        <w:t xml:space="preserve">The </w:t>
      </w:r>
      <w:r w:rsidR="003A27CE">
        <w:t xml:space="preserve">ACCC will be </w:t>
      </w:r>
      <w:r w:rsidR="00461E59">
        <w:t xml:space="preserve">expected </w:t>
      </w:r>
      <w:r w:rsidR="003A27CE">
        <w:t>to</w:t>
      </w:r>
      <w:r w:rsidR="0076340E">
        <w:t xml:space="preserve"> consult on</w:t>
      </w:r>
      <w:r w:rsidR="00726318">
        <w:t xml:space="preserve">, </w:t>
      </w:r>
      <w:r w:rsidR="003A27CE">
        <w:t>issue</w:t>
      </w:r>
      <w:r w:rsidR="008F64DD">
        <w:t xml:space="preserve"> and periodically update</w:t>
      </w:r>
      <w:r w:rsidR="003A27CE">
        <w:t xml:space="preserve"> </w:t>
      </w:r>
      <w:r w:rsidR="008F64DD">
        <w:t xml:space="preserve">substantive </w:t>
      </w:r>
      <w:r w:rsidR="003A27CE">
        <w:t xml:space="preserve">guidance on </w:t>
      </w:r>
      <w:r w:rsidR="008F64DD">
        <w:t>its</w:t>
      </w:r>
      <w:r w:rsidR="00F601E7">
        <w:t xml:space="preserve"> assessment of merger</w:t>
      </w:r>
      <w:r w:rsidR="008F64DD">
        <w:t>s</w:t>
      </w:r>
      <w:r w:rsidR="00AA5CED">
        <w:t>.</w:t>
      </w:r>
      <w:r w:rsidR="008F64DD">
        <w:t xml:space="preserve"> </w:t>
      </w:r>
    </w:p>
    <w:p w14:paraId="4DEB59C6" w14:textId="01C52813" w:rsidR="0048666A" w:rsidRDefault="0048666A" w:rsidP="00726318">
      <w:pPr>
        <w:pStyle w:val="Heading3"/>
      </w:pPr>
      <w:bookmarkStart w:id="42" w:name="_Toc155866040"/>
      <w:bookmarkStart w:id="43" w:name="_Toc156141238"/>
      <w:bookmarkStart w:id="44" w:name="_Toc156207580"/>
      <w:bookmarkStart w:id="45" w:name="_Toc163550093"/>
      <w:r>
        <w:t xml:space="preserve">Substantial Public </w:t>
      </w:r>
      <w:bookmarkEnd w:id="42"/>
      <w:bookmarkEnd w:id="43"/>
      <w:bookmarkEnd w:id="44"/>
      <w:r>
        <w:t>Benefits</w:t>
      </w:r>
      <w:r w:rsidR="008B7A00">
        <w:t xml:space="preserve"> test</w:t>
      </w:r>
      <w:bookmarkEnd w:id="45"/>
    </w:p>
    <w:p w14:paraId="58DFD2D3" w14:textId="580377A5" w:rsidR="0048666A" w:rsidRDefault="0048666A" w:rsidP="0048666A">
      <w:r>
        <w:t xml:space="preserve">Merger parties may, following the ACCC’s Phase II determination, seek approval </w:t>
      </w:r>
      <w:r w:rsidR="008B3CB9">
        <w:t xml:space="preserve">from the ACCC for </w:t>
      </w:r>
      <w:r>
        <w:t>the merger if the ACCC</w:t>
      </w:r>
      <w:r w:rsidR="00E338A7">
        <w:t xml:space="preserve"> </w:t>
      </w:r>
      <w:r>
        <w:t xml:space="preserve">is satisfied the merger would result, or be likely to result, in a </w:t>
      </w:r>
      <w:r w:rsidRPr="2D5F5637">
        <w:rPr>
          <w:i/>
          <w:iCs/>
        </w:rPr>
        <w:t>substantial</w:t>
      </w:r>
      <w:r>
        <w:t xml:space="preserve"> benefit to the public which outweighs the anti-competitive detriment of the merger. </w:t>
      </w:r>
    </w:p>
    <w:p w14:paraId="1DA7D6F3" w14:textId="7C84C287" w:rsidR="0048666A" w:rsidRPr="00EE3F80" w:rsidRDefault="0048666A" w:rsidP="0048666A">
      <w:r w:rsidRPr="00EE3F80">
        <w:t xml:space="preserve">The Australian economy is undergoing significant structural shifts including the rise of the care economy, rapid </w:t>
      </w:r>
      <w:r>
        <w:t>transformation to net zero</w:t>
      </w:r>
      <w:r w:rsidRPr="00EE3F80">
        <w:t xml:space="preserve"> and the growth of the digital economy. Allowing the ACCC to consider whether an otherwise anti-competitive merger raises substantial and meaningful net public benefits is important as our economy responds to these challenges. The ACCC is currently given broad discretion to consider what constitutes a public benefit, providing flexibility to enhance the welfare of Australians by approv</w:t>
      </w:r>
      <w:r>
        <w:t>ing</w:t>
      </w:r>
      <w:r w:rsidRPr="00EE3F80">
        <w:t xml:space="preserve"> mergers that are net desirable to the economy. </w:t>
      </w:r>
    </w:p>
    <w:p w14:paraId="4AEDEA24" w14:textId="28695F04" w:rsidR="0048666A" w:rsidRDefault="0048666A" w:rsidP="0048666A">
      <w:r>
        <w:t xml:space="preserve">The sequential approach </w:t>
      </w:r>
      <w:r w:rsidR="005B1ADA">
        <w:t xml:space="preserve">provides more exit points for merger parties and </w:t>
      </w:r>
      <w:r w:rsidR="00D03D86">
        <w:t xml:space="preserve">will </w:t>
      </w:r>
      <w:r>
        <w:t xml:space="preserve">ensure the substantive analysis and timeframes for the ACCC’s determination on competition considerations </w:t>
      </w:r>
      <w:r w:rsidR="00E93B84">
        <w:t xml:space="preserve">are </w:t>
      </w:r>
      <w:r>
        <w:t xml:space="preserve">robust and consistent with international best practice. </w:t>
      </w:r>
    </w:p>
    <w:p w14:paraId="21C3B64C" w14:textId="6C3543C5" w:rsidR="008974C9" w:rsidRDefault="008974C9" w:rsidP="0048666A">
      <w:r>
        <w:t xml:space="preserve">The system will provide for clear timelines for the ACCC to accept a notification for approval based on substantial public benefits and subsequently undertake its review. An indicative review timeline would be 50 working days. </w:t>
      </w:r>
      <w:bookmarkStart w:id="46" w:name="_Int_9vaxivgF"/>
      <w:r w:rsidDel="001F6E90">
        <w:t>Treasury</w:t>
      </w:r>
      <w:bookmarkEnd w:id="46"/>
      <w:r w:rsidDel="001F6E90">
        <w:t xml:space="preserve"> </w:t>
      </w:r>
      <w:r>
        <w:t>will</w:t>
      </w:r>
      <w:r w:rsidDel="001F6E90">
        <w:t xml:space="preserve"> consult on merg</w:t>
      </w:r>
      <w:r w:rsidRPr="00AA7A58" w:rsidDel="001F6E90">
        <w:t>er review timelines</w:t>
      </w:r>
      <w:r w:rsidDel="001F6E90">
        <w:t xml:space="preserve"> </w:t>
      </w:r>
      <w:r>
        <w:t>in 2024</w:t>
      </w:r>
      <w:r w:rsidDel="001F6E90">
        <w:t>.</w:t>
      </w:r>
    </w:p>
    <w:p w14:paraId="30FB5655" w14:textId="0B259113" w:rsidR="00016720" w:rsidRDefault="00016720" w:rsidP="000C4C5A">
      <w:pPr>
        <w:spacing w:before="240"/>
      </w:pPr>
      <w:r>
        <w:rPr>
          <w:noProof/>
        </w:rPr>
        <w:lastRenderedPageBreak/>
        <w:drawing>
          <wp:inline distT="0" distB="0" distL="0" distR="0" wp14:anchorId="530A30C3" wp14:editId="30615E75">
            <wp:extent cx="5731056" cy="3178840"/>
            <wp:effectExtent l="0" t="0" r="3175" b="2540"/>
            <wp:docPr id="23" name="Graphic 23" descr="This diagram outlines the indicative timelines of the ACCC merger assessment and determination process taking into account public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his diagram outlines the indicative timelines of the ACCC merger assessment and determination process taking into account public benefits."/>
                    <pic:cNvPicPr/>
                  </pic:nvPicPr>
                  <pic:blipFill rotWithShape="1">
                    <a:blip r:embed="rId52">
                      <a:extLst>
                        <a:ext uri="{96DAC541-7B7A-43D3-8B79-37D633B846F1}">
                          <asvg:svgBlip xmlns:asvg="http://schemas.microsoft.com/office/drawing/2016/SVG/main" r:embed="rId53"/>
                        </a:ext>
                      </a:extLst>
                    </a:blip>
                    <a:srcRect t="13372" b="8244"/>
                    <a:stretch/>
                  </pic:blipFill>
                  <pic:spPr bwMode="auto">
                    <a:xfrm>
                      <a:off x="0" y="0"/>
                      <a:ext cx="5731510" cy="3179092"/>
                    </a:xfrm>
                    <a:prstGeom prst="rect">
                      <a:avLst/>
                    </a:prstGeom>
                    <a:ln>
                      <a:noFill/>
                    </a:ln>
                    <a:extLst>
                      <a:ext uri="{53640926-AAD7-44D8-BBD7-CCE9431645EC}">
                        <a14:shadowObscured xmlns:a14="http://schemas.microsoft.com/office/drawing/2010/main"/>
                      </a:ext>
                    </a:extLst>
                  </pic:spPr>
                </pic:pic>
              </a:graphicData>
            </a:graphic>
          </wp:inline>
        </w:drawing>
      </w:r>
    </w:p>
    <w:p w14:paraId="34A1FF6B" w14:textId="65881786" w:rsidR="0048666A" w:rsidRDefault="0048666A" w:rsidP="000C4C5A">
      <w:pPr>
        <w:spacing w:before="240"/>
      </w:pPr>
      <w:r>
        <w:t xml:space="preserve">Any proceedings before the Tribunal seeking review of the ACCC’s Phase II determination would be stayed, pending the outcome of the application for approval based on substantial public benefits. </w:t>
      </w:r>
    </w:p>
    <w:p w14:paraId="45D0754D" w14:textId="72CF1C0B" w:rsidR="0048666A" w:rsidRPr="008B470A" w:rsidRDefault="0048666A" w:rsidP="0048666A">
      <w:r>
        <w:t xml:space="preserve">All applications for approval based on substantial public benefits will be accompanied by a fee, based </w:t>
      </w:r>
      <w:r w:rsidRPr="008B470A">
        <w:t xml:space="preserve">on cost-recovery principles. </w:t>
      </w:r>
      <w:bookmarkStart w:id="47" w:name="_Int_E5ugdl88"/>
      <w:r w:rsidRPr="008B470A">
        <w:t>Treasury</w:t>
      </w:r>
      <w:bookmarkEnd w:id="47"/>
      <w:r w:rsidRPr="008B470A">
        <w:t xml:space="preserve"> </w:t>
      </w:r>
      <w:r w:rsidRPr="008B470A" w:rsidDel="001F6E90">
        <w:t>intend</w:t>
      </w:r>
      <w:r w:rsidRPr="008B470A">
        <w:t>s</w:t>
      </w:r>
      <w:r w:rsidRPr="008B470A" w:rsidDel="001F6E90">
        <w:t xml:space="preserve"> to consult on the specific fees </w:t>
      </w:r>
      <w:r w:rsidR="00726318">
        <w:t>in 2024</w:t>
      </w:r>
      <w:r w:rsidRPr="008B470A" w:rsidDel="001F6E90">
        <w:t>.</w:t>
      </w:r>
    </w:p>
    <w:p w14:paraId="3527AB58" w14:textId="706D28FE" w:rsidR="00267017" w:rsidRPr="005507E8" w:rsidRDefault="00FF2AC4" w:rsidP="005F219C">
      <w:pPr>
        <w:pStyle w:val="Heading3"/>
        <w:rPr>
          <w:rFonts w:eastAsia="Calibri Light"/>
        </w:rPr>
      </w:pPr>
      <w:bookmarkStart w:id="48" w:name="_Toc163550094"/>
      <w:r w:rsidRPr="008B470A">
        <w:t>Conditions</w:t>
      </w:r>
      <w:bookmarkEnd w:id="48"/>
    </w:p>
    <w:p w14:paraId="4BFDFEA3" w14:textId="70AC21C7" w:rsidR="00D36E8E" w:rsidRDefault="00813E98" w:rsidP="00813E98">
      <w:pPr>
        <w:rPr>
          <w:rFonts w:eastAsia="Calibri Light"/>
        </w:rPr>
      </w:pPr>
      <w:r>
        <w:t>The ACCC may make a determination that a merger may be put into effe</w:t>
      </w:r>
      <w:r w:rsidR="00B7185A">
        <w:t>c</w:t>
      </w:r>
      <w:r>
        <w:t xml:space="preserve">t subject to conditions. This will include, but not be limited to, a condition that a person may </w:t>
      </w:r>
      <w:r>
        <w:rPr>
          <w:rFonts w:eastAsia="Calibri Light"/>
        </w:rPr>
        <w:t xml:space="preserve">give and comply with an </w:t>
      </w:r>
      <w:r w:rsidRPr="005507E8">
        <w:rPr>
          <w:rFonts w:eastAsia="Calibri Light"/>
        </w:rPr>
        <w:t>undertaking under s</w:t>
      </w:r>
      <w:r>
        <w:rPr>
          <w:rFonts w:eastAsia="Calibri Light"/>
        </w:rPr>
        <w:t xml:space="preserve">ection </w:t>
      </w:r>
      <w:r w:rsidRPr="005507E8">
        <w:rPr>
          <w:rFonts w:eastAsia="Calibri Light"/>
        </w:rPr>
        <w:t>87B of the CCA in connection with</w:t>
      </w:r>
      <w:r>
        <w:rPr>
          <w:rFonts w:eastAsia="Calibri Light"/>
        </w:rPr>
        <w:t xml:space="preserve"> </w:t>
      </w:r>
      <w:r w:rsidRPr="005507E8">
        <w:rPr>
          <w:rFonts w:eastAsia="Calibri Light"/>
        </w:rPr>
        <w:t>a matter</w:t>
      </w:r>
      <w:r>
        <w:rPr>
          <w:rFonts w:eastAsia="Calibri Light"/>
        </w:rPr>
        <w:t xml:space="preserve">. </w:t>
      </w:r>
    </w:p>
    <w:p w14:paraId="553AAE72" w14:textId="56E3AF7E" w:rsidR="006A15EF" w:rsidRDefault="00A62D40" w:rsidP="00405AC9">
      <w:pPr>
        <w:rPr>
          <w:rFonts w:eastAsia="Calibri Light"/>
        </w:rPr>
      </w:pPr>
      <w:r w:rsidRPr="005507E8">
        <w:rPr>
          <w:rFonts w:eastAsia="Calibri Light"/>
        </w:rPr>
        <w:t xml:space="preserve">Merger parties </w:t>
      </w:r>
      <w:r w:rsidR="00575FF4" w:rsidRPr="005507E8">
        <w:rPr>
          <w:rFonts w:eastAsia="Calibri Light"/>
        </w:rPr>
        <w:t xml:space="preserve">will be able to offer </w:t>
      </w:r>
      <w:r w:rsidR="004B0A85">
        <w:rPr>
          <w:rFonts w:eastAsia="Calibri Light"/>
        </w:rPr>
        <w:t xml:space="preserve">commitments or </w:t>
      </w:r>
      <w:r w:rsidR="00575FF4" w:rsidRPr="005507E8">
        <w:rPr>
          <w:rFonts w:eastAsia="Calibri Light"/>
        </w:rPr>
        <w:t xml:space="preserve">remedies </w:t>
      </w:r>
      <w:r w:rsidR="00B16B6B">
        <w:rPr>
          <w:rFonts w:eastAsia="Calibri Light"/>
        </w:rPr>
        <w:t xml:space="preserve">in the form of a </w:t>
      </w:r>
      <w:r w:rsidR="008B490A">
        <w:rPr>
          <w:rFonts w:eastAsia="Calibri Light"/>
        </w:rPr>
        <w:t>s</w:t>
      </w:r>
      <w:r w:rsidR="00D14892">
        <w:rPr>
          <w:rFonts w:eastAsia="Calibri Light"/>
        </w:rPr>
        <w:t xml:space="preserve">ection </w:t>
      </w:r>
      <w:r w:rsidR="008B490A">
        <w:rPr>
          <w:rFonts w:eastAsia="Calibri Light"/>
        </w:rPr>
        <w:t>87B</w:t>
      </w:r>
      <w:r w:rsidR="00F074B3">
        <w:rPr>
          <w:rFonts w:eastAsia="Calibri Light"/>
        </w:rPr>
        <w:t xml:space="preserve"> of the CCA</w:t>
      </w:r>
      <w:r w:rsidR="008B490A">
        <w:rPr>
          <w:rFonts w:eastAsia="Calibri Light"/>
        </w:rPr>
        <w:t xml:space="preserve"> undertaking </w:t>
      </w:r>
      <w:r w:rsidR="002715CB" w:rsidRPr="005507E8">
        <w:rPr>
          <w:rFonts w:eastAsia="Calibri Light"/>
        </w:rPr>
        <w:t>to address competition concerns identified by the ACCC in either Phase I</w:t>
      </w:r>
      <w:r w:rsidR="005F3209">
        <w:rPr>
          <w:rFonts w:eastAsia="Calibri Light"/>
        </w:rPr>
        <w:t xml:space="preserve">, if the competition concerns are readily identifiable and can be easily remedied, </w:t>
      </w:r>
      <w:r w:rsidR="002715CB" w:rsidRPr="005507E8">
        <w:rPr>
          <w:rFonts w:eastAsia="Calibri Light"/>
        </w:rPr>
        <w:t>or Phase II</w:t>
      </w:r>
      <w:r w:rsidR="00137F16">
        <w:rPr>
          <w:rFonts w:eastAsia="Calibri Light"/>
        </w:rPr>
        <w:t xml:space="preserve">. </w:t>
      </w:r>
      <w:r w:rsidR="006A15EF">
        <w:rPr>
          <w:rFonts w:eastAsia="Calibri Light"/>
        </w:rPr>
        <w:t xml:space="preserve">During the ACCC’s review of the substantial public benefits afforded by the merger, the remedies will need to address concerns relevant to that assessment. </w:t>
      </w:r>
      <w:r w:rsidR="00E76D44" w:rsidRPr="006B61F7">
        <w:rPr>
          <w:rFonts w:eastAsia="Calibri Light"/>
        </w:rPr>
        <w:t>If remedies are offered, the timeline will be extended</w:t>
      </w:r>
      <w:r w:rsidR="00E76D44" w:rsidRPr="00E76D44">
        <w:t xml:space="preserve"> </w:t>
      </w:r>
      <w:r w:rsidR="002D4669">
        <w:t xml:space="preserve">to permit </w:t>
      </w:r>
      <w:r w:rsidR="007246ED">
        <w:t>consideration by the ACCC and, if appropriate</w:t>
      </w:r>
      <w:r w:rsidR="00C52FC5">
        <w:t>,</w:t>
      </w:r>
      <w:r w:rsidR="007246ED">
        <w:t xml:space="preserve"> engagement with market par</w:t>
      </w:r>
      <w:r w:rsidR="006A68AE">
        <w:t xml:space="preserve">ticipants. </w:t>
      </w:r>
    </w:p>
    <w:p w14:paraId="12FF0EA4" w14:textId="6EA41FF9" w:rsidR="00077F68" w:rsidRDefault="009F396C" w:rsidP="00405AC9">
      <w:pPr>
        <w:rPr>
          <w:rFonts w:eastAsia="Calibri Light"/>
        </w:rPr>
      </w:pPr>
      <w:r>
        <w:rPr>
          <w:rFonts w:eastAsia="Calibri Light"/>
        </w:rPr>
        <w:t>The ACCC may determine the nature, form and scope of any conditions imposed</w:t>
      </w:r>
      <w:r w:rsidR="009247DD">
        <w:rPr>
          <w:rFonts w:eastAsia="Calibri Light"/>
        </w:rPr>
        <w:t xml:space="preserve"> </w:t>
      </w:r>
      <w:r w:rsidR="001B1139">
        <w:rPr>
          <w:rFonts w:eastAsia="Calibri Light"/>
        </w:rPr>
        <w:t>to</w:t>
      </w:r>
      <w:r w:rsidR="00874E77">
        <w:rPr>
          <w:rFonts w:eastAsia="Calibri Light"/>
        </w:rPr>
        <w:t xml:space="preserve"> </w:t>
      </w:r>
      <w:r w:rsidR="00B37F6C" w:rsidRPr="00AC5C39">
        <w:rPr>
          <w:rFonts w:eastAsia="Calibri Light"/>
        </w:rPr>
        <w:t>comprehensivel</w:t>
      </w:r>
      <w:r w:rsidR="005B1ADA">
        <w:rPr>
          <w:rFonts w:eastAsia="Calibri Light"/>
        </w:rPr>
        <w:t>y</w:t>
      </w:r>
      <w:r w:rsidR="00E71763" w:rsidRPr="00AC5C39">
        <w:rPr>
          <w:rFonts w:eastAsia="Calibri Light"/>
        </w:rPr>
        <w:t xml:space="preserve"> </w:t>
      </w:r>
      <w:r w:rsidR="00A246BB" w:rsidRPr="00AC5C39">
        <w:rPr>
          <w:rFonts w:eastAsia="Calibri Light"/>
        </w:rPr>
        <w:t>address the substantial lessening of competition and any adverse effects resulting from it</w:t>
      </w:r>
      <w:r w:rsidR="00874E77">
        <w:rPr>
          <w:rFonts w:eastAsia="Calibri Light"/>
        </w:rPr>
        <w:t xml:space="preserve">. The ACCC will also have regard to </w:t>
      </w:r>
      <w:r w:rsidR="00D84A74">
        <w:rPr>
          <w:rFonts w:eastAsia="Calibri Light"/>
        </w:rPr>
        <w:t>its</w:t>
      </w:r>
      <w:r w:rsidR="000B23F1">
        <w:rPr>
          <w:rFonts w:eastAsia="Calibri Light"/>
        </w:rPr>
        <w:t xml:space="preserve"> effect</w:t>
      </w:r>
      <w:r w:rsidR="00A82CE7" w:rsidRPr="005507E8">
        <w:rPr>
          <w:rFonts w:eastAsia="Calibri Light"/>
        </w:rPr>
        <w:t xml:space="preserve"> on </w:t>
      </w:r>
      <w:r w:rsidR="004B0A85">
        <w:rPr>
          <w:rFonts w:eastAsia="Calibri Light"/>
        </w:rPr>
        <w:t xml:space="preserve">consumers </w:t>
      </w:r>
      <w:r w:rsidR="004B0A85" w:rsidRPr="00D2465D">
        <w:rPr>
          <w:rFonts w:eastAsia="Calibri Light"/>
        </w:rPr>
        <w:t xml:space="preserve">and </w:t>
      </w:r>
      <w:r w:rsidR="00106EB3">
        <w:rPr>
          <w:rFonts w:eastAsia="Calibri Light"/>
        </w:rPr>
        <w:t xml:space="preserve">any </w:t>
      </w:r>
      <w:r w:rsidR="004B0A85" w:rsidRPr="00D2465D">
        <w:rPr>
          <w:rFonts w:eastAsia="Calibri Light"/>
        </w:rPr>
        <w:t xml:space="preserve">resulting </w:t>
      </w:r>
      <w:r w:rsidR="00106EB3">
        <w:rPr>
          <w:rFonts w:eastAsia="Calibri Light"/>
        </w:rPr>
        <w:t xml:space="preserve">consumer </w:t>
      </w:r>
      <w:r w:rsidR="004B0A85" w:rsidRPr="00D2465D">
        <w:rPr>
          <w:rFonts w:eastAsia="Calibri Light"/>
        </w:rPr>
        <w:t>benefits</w:t>
      </w:r>
      <w:r w:rsidR="004542B4">
        <w:rPr>
          <w:rFonts w:eastAsia="Calibri Light"/>
        </w:rPr>
        <w:t xml:space="preserve">. </w:t>
      </w:r>
      <w:r w:rsidR="00B713BA">
        <w:rPr>
          <w:rFonts w:eastAsia="Calibri Light"/>
        </w:rPr>
        <w:t xml:space="preserve">Similar provision will </w:t>
      </w:r>
      <w:r w:rsidR="001A0210">
        <w:rPr>
          <w:rFonts w:eastAsia="Calibri Light"/>
        </w:rPr>
        <w:t xml:space="preserve">also </w:t>
      </w:r>
      <w:r w:rsidR="00B713BA">
        <w:rPr>
          <w:rFonts w:eastAsia="Calibri Light"/>
        </w:rPr>
        <w:t xml:space="preserve">be made for remedies offered </w:t>
      </w:r>
      <w:r w:rsidR="00D84A74">
        <w:rPr>
          <w:rFonts w:eastAsia="Calibri Light"/>
        </w:rPr>
        <w:t xml:space="preserve">in relation to the substantial public benefits assessment. </w:t>
      </w:r>
    </w:p>
    <w:p w14:paraId="53971E16" w14:textId="32DDF472" w:rsidR="008E1816" w:rsidRDefault="008E1816" w:rsidP="0048666A">
      <w:pPr>
        <w:pStyle w:val="Heading2"/>
      </w:pPr>
      <w:bookmarkStart w:id="49" w:name="_Toc163550095"/>
      <w:bookmarkStart w:id="50" w:name="_Toc156141237"/>
      <w:bookmarkStart w:id="51" w:name="_Toc156207579"/>
      <w:bookmarkStart w:id="52" w:name="_Toc155866039"/>
      <w:r>
        <w:t>A stronger system</w:t>
      </w:r>
      <w:bookmarkEnd w:id="49"/>
    </w:p>
    <w:p w14:paraId="3ADE3346" w14:textId="725575DA" w:rsidR="0048666A" w:rsidRDefault="0048666A" w:rsidP="005F219C">
      <w:pPr>
        <w:pStyle w:val="Heading3"/>
      </w:pPr>
      <w:bookmarkStart w:id="53" w:name="_Toc163550096"/>
      <w:r>
        <w:t xml:space="preserve">Review of ACCC </w:t>
      </w:r>
      <w:bookmarkEnd w:id="50"/>
      <w:bookmarkEnd w:id="51"/>
      <w:bookmarkEnd w:id="52"/>
      <w:r>
        <w:t>determinations and procedural safeguards</w:t>
      </w:r>
      <w:bookmarkEnd w:id="53"/>
    </w:p>
    <w:p w14:paraId="7961E8D5" w14:textId="02980362" w:rsidR="0048666A" w:rsidRDefault="0048666A" w:rsidP="0048666A">
      <w:r>
        <w:t>ACCC determinations will be subject to review by the Tribunal upon application by the merger parties, or third parties (subject to having standing). Judicial review of decisions by Tribunal will be available in the Federal Court.</w:t>
      </w:r>
    </w:p>
    <w:p w14:paraId="3C2E1C81" w14:textId="423B4F2F" w:rsidR="0048666A" w:rsidDel="00731FDC" w:rsidRDefault="0048666A" w:rsidP="0048666A">
      <w:r w:rsidDel="00731FDC">
        <w:lastRenderedPageBreak/>
        <w:t xml:space="preserve">The ability to seek Tribunal review represents an important safeguard for merger parties and interested third parties and promotes the integrity of the merger system. The Tribunal, with its independent economic, business and legal expertise, will </w:t>
      </w:r>
      <w:r w:rsidR="00F476AA">
        <w:t>improve the quality and consistency of ACCC decisions</w:t>
      </w:r>
      <w:r w:rsidR="00131A0C">
        <w:t xml:space="preserve"> and </w:t>
      </w:r>
      <w:r w:rsidDel="00731FDC">
        <w:t>promote good decision</w:t>
      </w:r>
      <w:r>
        <w:t>-</w:t>
      </w:r>
      <w:r w:rsidDel="00731FDC">
        <w:t>making by the ACCC based on sound economic and legal principles. The Tribunal is able to conduct proceedings expeditiously and with as little formality as required for proper consideration of the issues which will minimise cost and facilitate participation by affected stakeholders</w:t>
      </w:r>
      <w:r>
        <w:t>, including supporting consumer groups</w:t>
      </w:r>
      <w:r w:rsidDel="00731FDC">
        <w:t>.</w:t>
      </w:r>
    </w:p>
    <w:p w14:paraId="500854B5" w14:textId="33BE0BC0" w:rsidR="0048666A" w:rsidRDefault="00315FCD" w:rsidP="0048666A">
      <w:r>
        <w:t>Merits review mean</w:t>
      </w:r>
      <w:r w:rsidR="007E745C">
        <w:t>s</w:t>
      </w:r>
      <w:r>
        <w:t xml:space="preserve"> the Tribunal can substitute the ACCC’s decision for a </w:t>
      </w:r>
      <w:r w:rsidR="007E745C">
        <w:t xml:space="preserve">correct or preferable decision. </w:t>
      </w:r>
      <w:r w:rsidR="0048666A">
        <w:t xml:space="preserve">The </w:t>
      </w:r>
      <w:r w:rsidR="0048666A" w:rsidRPr="0089696D">
        <w:t xml:space="preserve">Tribunal may make a determination affirming, setting aside or varying the </w:t>
      </w:r>
      <w:r w:rsidR="0048666A">
        <w:t xml:space="preserve">ACCC’s determination </w:t>
      </w:r>
      <w:r w:rsidR="0048666A" w:rsidRPr="0089696D">
        <w:t xml:space="preserve">and, for the purposes of the review, may perform all the functions and exercise all the powers of the </w:t>
      </w:r>
      <w:r w:rsidR="0048666A">
        <w:t xml:space="preserve">ACCC. The scope and basis for the Tribunal’s review will be consistent with the current approach for merger authorisation, that is, on review the Tribunal will apply the same test as the </w:t>
      </w:r>
      <w:r w:rsidR="0048666A" w:rsidRPr="00EF3B5F">
        <w:t>ACCC</w:t>
      </w:r>
      <w:r w:rsidR="0048666A">
        <w:t xml:space="preserve"> and it will not be a rehearing</w:t>
      </w:r>
      <w:r w:rsidR="0048666A" w:rsidRPr="00EF3B5F">
        <w:t xml:space="preserve">. </w:t>
      </w:r>
    </w:p>
    <w:p w14:paraId="6AA68768" w14:textId="07798999" w:rsidR="0048666A" w:rsidRDefault="0048666A" w:rsidP="0048666A">
      <w:r w:rsidRPr="00EF3B5F">
        <w:t>The Tribunal’s review of ACCC de</w:t>
      </w:r>
      <w:r>
        <w:t xml:space="preserve">terminations </w:t>
      </w:r>
      <w:r w:rsidR="00C651FE">
        <w:t xml:space="preserve">will be </w:t>
      </w:r>
      <w:r w:rsidR="007E745C">
        <w:t xml:space="preserve">limited as it </w:t>
      </w:r>
      <w:r w:rsidRPr="00EF3B5F">
        <w:t xml:space="preserve">will be based on the material before the </w:t>
      </w:r>
      <w:r>
        <w:t>ACCC</w:t>
      </w:r>
      <w:r w:rsidR="007E745C">
        <w:t xml:space="preserve">. However, </w:t>
      </w:r>
      <w:r w:rsidRPr="00EF3B5F">
        <w:t>the Tribunal may seek clarifying information, and the Tribunal may allow the parties to present new information or evidence which was not in existence at the time of the ACCC’s de</w:t>
      </w:r>
      <w:r>
        <w:t>termination</w:t>
      </w:r>
      <w:r w:rsidRPr="00EF3B5F">
        <w:t xml:space="preserve">. </w:t>
      </w:r>
      <w:r>
        <w:t>Alternatively, a fast-track review by the Tribunal may be sought, based only on the material before the ACCC. With a fast-track review, the Tribunal would be bound by the findings of fact made by the ACCC.</w:t>
      </w:r>
    </w:p>
    <w:p w14:paraId="11A590F4" w14:textId="5CA05426" w:rsidR="0048666A" w:rsidRDefault="006C3895" w:rsidP="0048666A">
      <w:r>
        <w:t>Tribunal</w:t>
      </w:r>
      <w:r w:rsidR="0048666A">
        <w:t xml:space="preserve"> review will allow for reconsideration of the ACCC’s determination, subjecting it to scrutiny and review. Limited merits review, rather than full merits review, </w:t>
      </w:r>
      <w:r w:rsidR="0048666A" w:rsidRPr="00EF3B5F">
        <w:t>appropriately balances procedural fairness by allowing for a change of circumstances to be taken into account</w:t>
      </w:r>
      <w:r w:rsidR="0048666A">
        <w:t xml:space="preserve"> and ensures merger parties have the incentive to place relevant information before the ACCC. This mitigates the risk of strategic behaviour</w:t>
      </w:r>
      <w:r w:rsidR="002D3949">
        <w:t>. Limited merits review also, importantly</w:t>
      </w:r>
      <w:r w:rsidR="0048666A">
        <w:t xml:space="preserve"> </w:t>
      </w:r>
      <w:r w:rsidR="002D3949">
        <w:t xml:space="preserve">in a merger situation, </w:t>
      </w:r>
      <w:r w:rsidR="0048666A">
        <w:t xml:space="preserve">reduces the time required to review an ACCC determination. </w:t>
      </w:r>
    </w:p>
    <w:p w14:paraId="17B690E6" w14:textId="04F0DA3B" w:rsidR="0048666A" w:rsidRDefault="0048666A" w:rsidP="0048666A">
      <w:r>
        <w:t xml:space="preserve">As mergers are time-critical, the Tribunal’s review should be subject to a time limit of 90 calendar days (approximately 60 working days), which could be extended by a further 90 calendar days where necessary – this is the same time period as currently applies for review of ACCC merger authorisation decisions. This will ensure that, even for mergers considered by the ACCC and the Tribunal on review, the process could be expected to be complete in around 12 months. If a fast-track review by the Tribunal is sought, the Tribunal’s review will be subject to a time limit of 60 calendar days (approximately 40 working days), with no option for extension. </w:t>
      </w:r>
      <w:r w:rsidR="002D3949">
        <w:t xml:space="preserve">The Tribunal will also have a discretion to extend </w:t>
      </w:r>
      <w:r w:rsidR="002973AC">
        <w:t>its</w:t>
      </w:r>
      <w:r w:rsidR="005502FF">
        <w:t xml:space="preserve"> time limit</w:t>
      </w:r>
      <w:r w:rsidR="002973AC">
        <w:t>s</w:t>
      </w:r>
      <w:r w:rsidR="005502FF">
        <w:t xml:space="preserve"> if </w:t>
      </w:r>
      <w:r w:rsidR="002973AC">
        <w:t xml:space="preserve">excessively </w:t>
      </w:r>
      <w:r w:rsidR="002973AC" w:rsidRPr="002973AC">
        <w:t>voluminous</w:t>
      </w:r>
      <w:r w:rsidR="001E16F6">
        <w:t xml:space="preserve"> </w:t>
      </w:r>
      <w:r w:rsidR="002D264B">
        <w:t>material is placed before it</w:t>
      </w:r>
      <w:r w:rsidR="002973AC">
        <w:t>.</w:t>
      </w:r>
    </w:p>
    <w:p w14:paraId="51E17A21" w14:textId="30A576CA" w:rsidR="0048666A" w:rsidRDefault="0048666A" w:rsidP="0048666A">
      <w:r>
        <w:t xml:space="preserve">At present, the Tribunal has no general power to award costs in relation to merger authorisation proceedings. However, given the time and commercial imperatives associated with mergers, the Tribunal should have a power to </w:t>
      </w:r>
      <w:r>
        <w:rPr>
          <w:rStyle w:val="normaltextrun"/>
          <w:rFonts w:cs="Calibri"/>
          <w:color w:val="000000"/>
          <w:szCs w:val="22"/>
          <w:shd w:val="clear" w:color="auto" w:fill="FFFFFF"/>
        </w:rPr>
        <w:t xml:space="preserve">award costs where an application for review is frivolous or vexatious. </w:t>
      </w:r>
      <w:r w:rsidR="00467AC6">
        <w:t>There will also be fees for Tribunal review. An exemption from fees will be available for small business.</w:t>
      </w:r>
    </w:p>
    <w:p w14:paraId="52173521" w14:textId="7791E5C8" w:rsidR="0048666A" w:rsidRDefault="0048666A" w:rsidP="0048666A">
      <w:r>
        <w:t xml:space="preserve">The Government will also consider the institutional and procedural arrangements of the Tribunal to ensure it is fit for the purpose of reviewing ACCC merger determinations. Treasury will consult on any potential reforms. </w:t>
      </w:r>
    </w:p>
    <w:p w14:paraId="5F5E1777" w14:textId="498E98D4" w:rsidR="0048666A" w:rsidRDefault="0048666A" w:rsidP="0048666A">
      <w:r>
        <w:t xml:space="preserve">Merger parties will be able to address complaints about the conduct of the ACCC’s merger review, which are unable to be resolved directly with the ACCC staff involved in the matter, to an identified senior executive, such as the Chief Executive Officer, uninvolved in the merger review. This is in addition to the availability of the Commonwealth Ombudsman. </w:t>
      </w:r>
    </w:p>
    <w:p w14:paraId="37B72053" w14:textId="7E89DE1F" w:rsidR="0048666A" w:rsidRDefault="0048666A" w:rsidP="0048666A">
      <w:r>
        <w:t>The ACCC is also subject to the Regulator Performance Guide, which is part of the Australian Government’s commitment to b</w:t>
      </w:r>
      <w:r w:rsidRPr="00E03677">
        <w:t>oosting productivity by cutting red tape</w:t>
      </w:r>
      <w:r>
        <w:t>,</w:t>
      </w:r>
      <w:r w:rsidRPr="00E03677">
        <w:t xml:space="preserve"> reducing duplicative </w:t>
      </w:r>
      <w:r w:rsidRPr="00E03677">
        <w:lastRenderedPageBreak/>
        <w:t>processes</w:t>
      </w:r>
      <w:r>
        <w:t xml:space="preserve">, </w:t>
      </w:r>
      <w:r w:rsidRPr="004C3CAF">
        <w:t>modernising regulation and improving regulator performance</w:t>
      </w:r>
      <w:r w:rsidRPr="00536625">
        <w:t xml:space="preserve"> to improve the quality of regulation and ease cost of living pressures for Australians</w:t>
      </w:r>
      <w:r>
        <w:t xml:space="preserve">. Treasury </w:t>
      </w:r>
      <w:r w:rsidR="00C036C0">
        <w:t>will</w:t>
      </w:r>
      <w:r>
        <w:t xml:space="preserve"> review the role of the </w:t>
      </w:r>
      <w:r w:rsidRPr="00D878FE">
        <w:t>ACCC Performance Consultative Committee</w:t>
      </w:r>
      <w:r>
        <w:t xml:space="preserve">, which consists of business, legal and consumer representatives, to promote regulatory best practice.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48666A" w14:paraId="64FD8A2C" w14:textId="77777777" w:rsidTr="008B470A">
        <w:trPr>
          <w:trHeight w:val="778"/>
          <w:jc w:val="center"/>
        </w:trPr>
        <w:tc>
          <w:tcPr>
            <w:tcW w:w="1418" w:type="dxa"/>
            <w:shd w:val="clear" w:color="auto" w:fill="6B83A7" w:themeFill="accent1" w:themeFillTint="99"/>
          </w:tcPr>
          <w:p w14:paraId="075FDFCE" w14:textId="77777777" w:rsidR="0048666A" w:rsidRDefault="0048666A" w:rsidP="008B470A">
            <w:pPr>
              <w:jc w:val="center"/>
            </w:pPr>
            <w:r>
              <w:rPr>
                <w:noProof/>
              </w:rPr>
              <w:drawing>
                <wp:inline distT="0" distB="0" distL="0" distR="0" wp14:anchorId="6DAAA1FB" wp14:editId="219378BA">
                  <wp:extent cx="592853" cy="592853"/>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0419988A" w14:textId="2C296AEF" w:rsidR="0048666A" w:rsidRDefault="0048666A" w:rsidP="00900542">
            <w:pPr>
              <w:pStyle w:val="BoxHeading"/>
            </w:pPr>
            <w:bookmarkStart w:id="54" w:name="_Int_UP7l0du2"/>
            <w:r w:rsidRPr="007308C7">
              <w:t>Treasury</w:t>
            </w:r>
            <w:bookmarkEnd w:id="54"/>
            <w:r w:rsidRPr="007308C7">
              <w:t xml:space="preserve"> intend</w:t>
            </w:r>
            <w:r>
              <w:t>s</w:t>
            </w:r>
            <w:r w:rsidRPr="007308C7">
              <w:t xml:space="preserve"> to consult on </w:t>
            </w:r>
            <w:r>
              <w:t xml:space="preserve">procedural safeguards </w:t>
            </w:r>
            <w:r w:rsidR="00726318">
              <w:t>in 2024</w:t>
            </w:r>
            <w:r w:rsidRPr="005F219C">
              <w:t>.</w:t>
            </w:r>
          </w:p>
        </w:tc>
      </w:tr>
    </w:tbl>
    <w:p w14:paraId="2AAD9E1D" w14:textId="77777777" w:rsidR="008E1816" w:rsidRDefault="008E1816" w:rsidP="005F219C">
      <w:pPr>
        <w:pStyle w:val="Heading3"/>
      </w:pPr>
      <w:bookmarkStart w:id="55" w:name="_Toc163550097"/>
      <w:r>
        <w:t>Penalties</w:t>
      </w:r>
      <w:bookmarkEnd w:id="55"/>
    </w:p>
    <w:p w14:paraId="6197826B" w14:textId="77777777" w:rsidR="008E1816" w:rsidRDefault="008E1816" w:rsidP="008E1816">
      <w:r>
        <w:t xml:space="preserve">A failure to notify a notifiable merger or proceeding with the merger ahead of the ACCC’s determination or otherwise than in accordance with the ACCC’s determination will result in substantial penalties for the entity concerned and executives or officers responsible for the merger. Penalties will also apply for the provision of false or misleading information. The ACCC will be able to seek such penalties in the Federal Court, subject to limitation periods. </w:t>
      </w:r>
    </w:p>
    <w:p w14:paraId="0C733271" w14:textId="766B037B" w:rsidR="008E1816" w:rsidRDefault="008E1816" w:rsidP="008E1816">
      <w:r>
        <w:t>In addition to civil and criminal penalties, a</w:t>
      </w:r>
      <w:r w:rsidRPr="00906AE8">
        <w:t xml:space="preserve">ny </w:t>
      </w:r>
      <w:r>
        <w:t>merger or contract, arrangement or understanding related to the merger, which purports to be put into effect otherwise than in accordance with the ACCC’s determination (or when the time period has otherwise elapsed), will be void</w:t>
      </w:r>
      <w:r w:rsidR="00726318">
        <w:t>.</w:t>
      </w:r>
      <w:r>
        <w:t xml:space="preserve"> </w:t>
      </w:r>
    </w:p>
    <w:p w14:paraId="3A62DE49" w14:textId="246209F3" w:rsidR="008E1816" w:rsidRDefault="00AD59E9" w:rsidP="008E1816">
      <w:r>
        <w:t>Consistent with existing provisions, t</w:t>
      </w:r>
      <w:r w:rsidR="008E1816">
        <w:t xml:space="preserve">he ACCC may make an application for divestiture, or the court may declare the merger void, if false or misleading information was provided, or there was a material omission by the merger parties, in the making of the ACCC’s determination.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8E1816" w14:paraId="1ECFF272" w14:textId="77777777">
        <w:trPr>
          <w:trHeight w:val="778"/>
          <w:jc w:val="center"/>
        </w:trPr>
        <w:tc>
          <w:tcPr>
            <w:tcW w:w="1418" w:type="dxa"/>
            <w:shd w:val="clear" w:color="auto" w:fill="6B83A7" w:themeFill="accent1" w:themeFillTint="99"/>
          </w:tcPr>
          <w:p w14:paraId="7DF66A10" w14:textId="77777777" w:rsidR="008E1816" w:rsidRDefault="008E1816">
            <w:pPr>
              <w:jc w:val="center"/>
            </w:pPr>
            <w:r>
              <w:rPr>
                <w:noProof/>
              </w:rPr>
              <w:drawing>
                <wp:inline distT="0" distB="0" distL="0" distR="0" wp14:anchorId="2A94BC2F" wp14:editId="318B3E9B">
                  <wp:extent cx="592853" cy="592853"/>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714FD5F4" w14:textId="4BF825D8" w:rsidR="008E1816" w:rsidRDefault="008E1816" w:rsidP="00900542">
            <w:pPr>
              <w:pStyle w:val="BoxHeading"/>
            </w:pPr>
            <w:r>
              <w:t xml:space="preserve">Treasury </w:t>
            </w:r>
            <w:r w:rsidR="00AD59E9">
              <w:t>will</w:t>
            </w:r>
            <w:r>
              <w:t xml:space="preserve"> consult on </w:t>
            </w:r>
            <w:r w:rsidRPr="005F219C">
              <w:t xml:space="preserve">penalties </w:t>
            </w:r>
            <w:r w:rsidR="00726318">
              <w:t>in 2024</w:t>
            </w:r>
            <w:r w:rsidRPr="005F219C">
              <w:t>.</w:t>
            </w:r>
          </w:p>
        </w:tc>
      </w:tr>
    </w:tbl>
    <w:p w14:paraId="30FCB993" w14:textId="77777777" w:rsidR="00387A18" w:rsidRDefault="00387A18" w:rsidP="00BA60D9">
      <w:pPr>
        <w:spacing w:after="160" w:line="259" w:lineRule="auto"/>
        <w:rPr>
          <w:u w:val="single"/>
        </w:rPr>
      </w:pPr>
    </w:p>
    <w:p w14:paraId="0D315237" w14:textId="2AFEF312" w:rsidR="008E1816" w:rsidRDefault="008E1816" w:rsidP="00BA60D9">
      <w:pPr>
        <w:spacing w:after="160" w:line="259" w:lineRule="auto"/>
        <w:rPr>
          <w:u w:val="single"/>
        </w:rPr>
        <w:sectPr w:rsidR="008E1816" w:rsidSect="00E00695">
          <w:footerReference w:type="default" r:id="rId54"/>
          <w:type w:val="continuous"/>
          <w:pgSz w:w="11906" w:h="16838"/>
          <w:pgMar w:top="1440" w:right="1440" w:bottom="1440" w:left="1440" w:header="708" w:footer="708" w:gutter="0"/>
          <w:pgNumType w:start="1"/>
          <w:cols w:space="708"/>
          <w:docGrid w:linePitch="360"/>
        </w:sectPr>
      </w:pPr>
    </w:p>
    <w:p w14:paraId="03D90A85" w14:textId="76536FB9" w:rsidR="00E92ACC" w:rsidRDefault="00486BFD" w:rsidP="00DE6B4F">
      <w:pPr>
        <w:pStyle w:val="Heading1"/>
      </w:pPr>
      <w:bookmarkStart w:id="56" w:name="_Toc163550098"/>
      <w:bookmarkStart w:id="57" w:name="_Toc155866044"/>
      <w:r w:rsidRPr="00610C58">
        <w:rPr>
          <w:b w:val="0"/>
          <w:noProof/>
        </w:rPr>
        <w:lastRenderedPageBreak/>
        <w:drawing>
          <wp:anchor distT="0" distB="0" distL="114300" distR="114300" simplePos="0" relativeHeight="251658242" behindDoc="0" locked="0" layoutInCell="1" allowOverlap="1" wp14:anchorId="75A4DC10" wp14:editId="6E7E1B8A">
            <wp:simplePos x="0" y="0"/>
            <wp:positionH relativeFrom="margin">
              <wp:align>left</wp:align>
            </wp:positionH>
            <wp:positionV relativeFrom="paragraph">
              <wp:posOffset>615551</wp:posOffset>
            </wp:positionV>
            <wp:extent cx="8293100" cy="5026025"/>
            <wp:effectExtent l="0" t="0" r="0" b="3175"/>
            <wp:wrapSquare wrapText="bothSides"/>
            <wp:docPr id="21" name="Graphic 21" descr="The diagram visualises the Government's merger reform, including Phase 1, Phase 2 and the consideration of public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The diagram visualises the Government's merger reform, including Phase 1, Phase 2 and the consideration of public benefit."/>
                    <pic:cNvPicPr/>
                  </pic:nvPicPr>
                  <pic:blipFill rotWithShape="1">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t="9227" b="5123"/>
                    <a:stretch/>
                  </pic:blipFill>
                  <pic:spPr bwMode="auto">
                    <a:xfrm>
                      <a:off x="0" y="0"/>
                      <a:ext cx="8304998" cy="503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DD5">
        <w:t>Attachment</w:t>
      </w:r>
      <w:r w:rsidR="00BB7DA1">
        <w:t xml:space="preserve"> A</w:t>
      </w:r>
      <w:r w:rsidR="00C60DD5">
        <w:t xml:space="preserve">: </w:t>
      </w:r>
      <w:r w:rsidR="007B0F12">
        <w:t>A faster, stronger and simpler merger system</w:t>
      </w:r>
      <w:bookmarkEnd w:id="56"/>
    </w:p>
    <w:p w14:paraId="6F5D50B1" w14:textId="17C0CBE5" w:rsidR="008B6255" w:rsidRDefault="0967366E" w:rsidP="00FF10B8">
      <w:pPr>
        <w:pStyle w:val="AppendixHeading"/>
      </w:pPr>
      <w:bookmarkStart w:id="58" w:name="_Toc163550099"/>
      <w:r w:rsidRPr="00FF10B8">
        <w:lastRenderedPageBreak/>
        <w:t>Attachment</w:t>
      </w:r>
      <w:r w:rsidR="00BB7DA1">
        <w:t xml:space="preserve"> B</w:t>
      </w:r>
      <w:r w:rsidRPr="00FF10B8">
        <w:t xml:space="preserve">: </w:t>
      </w:r>
      <w:r w:rsidR="0019169F" w:rsidRPr="00FF10B8">
        <w:t>Merger reform consultation</w:t>
      </w:r>
      <w:r w:rsidR="00C83B65">
        <w:t xml:space="preserve"> — </w:t>
      </w:r>
      <w:r w:rsidR="0019169F" w:rsidRPr="00FF10B8">
        <w:t>s</w:t>
      </w:r>
      <w:r w:rsidR="002708F2" w:rsidRPr="00FF10B8">
        <w:t xml:space="preserve">takeholder feedback and </w:t>
      </w:r>
      <w:r w:rsidR="4C7C154C" w:rsidRPr="00FF10B8">
        <w:t>Australian</w:t>
      </w:r>
      <w:r w:rsidR="766FEDAC" w:rsidRPr="00FF10B8">
        <w:t xml:space="preserve"> </w:t>
      </w:r>
      <w:r w:rsidRPr="00FF10B8">
        <w:t>Government response</w:t>
      </w:r>
      <w:bookmarkEnd w:id="58"/>
    </w:p>
    <w:tbl>
      <w:tblPr>
        <w:tblStyle w:val="TableGrid"/>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6437"/>
        <w:gridCol w:w="6442"/>
      </w:tblGrid>
      <w:tr w:rsidR="00D86702" w14:paraId="4E1C85C6" w14:textId="77777777">
        <w:trPr>
          <w:cnfStyle w:val="100000000000" w:firstRow="1" w:lastRow="0" w:firstColumn="0" w:lastColumn="0" w:oddVBand="0" w:evenVBand="0" w:oddHBand="0" w:evenHBand="0" w:firstRowFirstColumn="0" w:firstRowLastColumn="0" w:lastRowFirstColumn="0" w:lastRowLastColumn="0"/>
          <w:tblHeade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9CACC4" w:themeFill="accent1" w:themeFillTint="66"/>
            <w:hideMark/>
          </w:tcPr>
          <w:bookmarkEnd w:id="57"/>
          <w:p w14:paraId="7828BE61" w14:textId="77777777" w:rsidR="00D86702" w:rsidRPr="00004FEC" w:rsidRDefault="00D86702" w:rsidP="00AF2633">
            <w:pPr>
              <w:pStyle w:val="TableSecondHeading"/>
              <w:keepNext w:val="0"/>
              <w:jc w:val="center"/>
              <w:rPr>
                <w:rStyle w:val="Strong"/>
                <w:color w:val="auto"/>
              </w:rPr>
            </w:pPr>
            <w:r w:rsidRPr="00004FEC">
              <w:rPr>
                <w:rStyle w:val="Strong"/>
                <w:color w:val="auto"/>
              </w:rPr>
              <w:t>Elements of a merger control system adopted</w:t>
            </w:r>
          </w:p>
        </w:tc>
      </w:tr>
      <w:tr w:rsidR="00D86702" w14:paraId="5187FAC2" w14:textId="77777777" w:rsidTr="008B3CB9">
        <w:trPr>
          <w:cnfStyle w:val="100000000000" w:firstRow="1" w:lastRow="0" w:firstColumn="0" w:lastColumn="0" w:oddVBand="0" w:evenVBand="0" w:oddHBand="0" w:evenHBand="0" w:firstRowFirstColumn="0" w:firstRowLastColumn="0" w:lastRowFirstColumn="0" w:lastRowLastColumn="0"/>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3744E48E" w14:textId="77777777" w:rsidR="00D86702" w:rsidRPr="00004FEC" w:rsidRDefault="00D86702" w:rsidP="00AF2633">
            <w:pPr>
              <w:pStyle w:val="TableSecondHeading"/>
              <w:rPr>
                <w:rStyle w:val="Strong"/>
                <w:rFonts w:eastAsiaTheme="minorHAnsi"/>
                <w:color w:val="auto"/>
              </w:rPr>
            </w:pPr>
            <w:r w:rsidRPr="00004FEC">
              <w:rPr>
                <w:rStyle w:val="Strong"/>
                <w:color w:val="auto"/>
              </w:rPr>
              <w:t>Element</w:t>
            </w:r>
          </w:p>
        </w:tc>
        <w:tc>
          <w:tcPr>
            <w:tcW w:w="6437"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6900FD71" w14:textId="29F4C5CB" w:rsidR="00D86702" w:rsidRPr="00004FEC" w:rsidRDefault="00D86702" w:rsidP="00AF2633">
            <w:pPr>
              <w:pStyle w:val="TableSecondHeading"/>
              <w:keepNext w:val="0"/>
              <w:rPr>
                <w:rStyle w:val="Strong"/>
                <w:color w:val="auto"/>
              </w:rPr>
            </w:pPr>
            <w:r w:rsidRPr="00004FEC">
              <w:rPr>
                <w:rStyle w:val="Strong"/>
                <w:color w:val="auto"/>
              </w:rPr>
              <w:t>Stakeholder consultation feedback</w:t>
            </w:r>
          </w:p>
        </w:tc>
        <w:tc>
          <w:tcPr>
            <w:tcW w:w="6442"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6607BA6E" w14:textId="27BB2CF5" w:rsidR="00D86702" w:rsidRPr="00004FEC" w:rsidRDefault="00D86702" w:rsidP="00AF2633">
            <w:pPr>
              <w:pStyle w:val="TableSecondHeading"/>
              <w:keepNext w:val="0"/>
              <w:rPr>
                <w:rStyle w:val="Strong"/>
                <w:rFonts w:eastAsiaTheme="minorHAnsi"/>
                <w:color w:val="auto"/>
              </w:rPr>
            </w:pPr>
            <w:r w:rsidRPr="00004FEC">
              <w:rPr>
                <w:rStyle w:val="Strong"/>
                <w:color w:val="auto"/>
              </w:rPr>
              <w:t>Australian Government response</w:t>
            </w:r>
          </w:p>
        </w:tc>
      </w:tr>
      <w:tr w:rsidR="00D86702" w14:paraId="1E358C2C"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68ABB46C" w14:textId="5886E38B" w:rsidR="00D86702" w:rsidRPr="00004FEC" w:rsidRDefault="00D86702" w:rsidP="00F323D9">
            <w:pPr>
              <w:pStyle w:val="TableSecondHeading"/>
              <w:keepNext w:val="0"/>
              <w:jc w:val="center"/>
              <w:rPr>
                <w:rStyle w:val="Strong"/>
                <w:b/>
                <w:color w:val="auto"/>
              </w:rPr>
            </w:pPr>
            <w:r w:rsidRPr="00004FEC">
              <w:rPr>
                <w:rStyle w:val="Strong"/>
                <w:b/>
                <w:color w:val="auto"/>
              </w:rPr>
              <w:t>Notification</w:t>
            </w:r>
          </w:p>
        </w:tc>
      </w:tr>
      <w:tr w:rsidR="00D86702" w14:paraId="7B722257"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074F2DE8" w14:textId="27495BF0" w:rsidR="00D86702" w:rsidRPr="002D3D60" w:rsidRDefault="004A6F67" w:rsidP="002D3D60">
            <w:pPr>
              <w:rPr>
                <w:rStyle w:val="Strong"/>
                <w:bCs w:val="0"/>
              </w:rPr>
            </w:pPr>
            <w:r w:rsidRPr="00004FEC">
              <w:rPr>
                <w:rStyle w:val="Strong"/>
                <w:bCs w:val="0"/>
              </w:rPr>
              <w:t xml:space="preserve">Targeted </w:t>
            </w:r>
            <w:r w:rsidR="00EF03CA" w:rsidRPr="00004FEC">
              <w:rPr>
                <w:rStyle w:val="Strong"/>
                <w:bCs w:val="0"/>
              </w:rPr>
              <w:t xml:space="preserve">mandatory </w:t>
            </w:r>
            <w:r w:rsidR="00D86702" w:rsidRPr="00004FEC">
              <w:rPr>
                <w:rStyle w:val="Strong"/>
                <w:bCs w:val="0"/>
              </w:rPr>
              <w:t>notification</w:t>
            </w:r>
            <w:r w:rsidR="00EF03CA" w:rsidRPr="00004FEC">
              <w:rPr>
                <w:rStyle w:val="Strong"/>
                <w:bCs w:val="0"/>
              </w:rPr>
              <w:t xml:space="preserve"> thresholds</w:t>
            </w:r>
          </w:p>
        </w:tc>
        <w:tc>
          <w:tcPr>
            <w:tcW w:w="6437" w:type="dxa"/>
            <w:tcBorders>
              <w:top w:val="single" w:sz="4" w:space="0" w:color="auto"/>
              <w:left w:val="single" w:sz="4" w:space="0" w:color="auto"/>
              <w:bottom w:val="single" w:sz="4" w:space="0" w:color="auto"/>
              <w:right w:val="single" w:sz="4" w:space="0" w:color="auto"/>
            </w:tcBorders>
            <w:hideMark/>
          </w:tcPr>
          <w:p w14:paraId="2168F3D6" w14:textId="77777777" w:rsidR="00D86702" w:rsidRPr="00054B84" w:rsidRDefault="00D86702" w:rsidP="00F323D9">
            <w:pPr>
              <w:rPr>
                <w:rStyle w:val="Strong"/>
                <w:b w:val="0"/>
                <w:bCs w:val="0"/>
              </w:rPr>
            </w:pPr>
            <w:r w:rsidRPr="00054B84">
              <w:rPr>
                <w:rStyle w:val="Strong"/>
                <w:b w:val="0"/>
                <w:bCs w:val="0"/>
              </w:rPr>
              <w:t xml:space="preserve">Current approach gives rise to uncertainty for businesses about when to notify; concern that the ACCC is not adequately notified of </w:t>
            </w:r>
            <w:r w:rsidR="00EF1053" w:rsidRPr="00054B84">
              <w:rPr>
                <w:rStyle w:val="Strong"/>
                <w:b w:val="0"/>
                <w:bCs w:val="0"/>
              </w:rPr>
              <w:t>mergers.</w:t>
            </w:r>
          </w:p>
          <w:p w14:paraId="03A0E06C" w14:textId="113AF1DD" w:rsidR="00EF03CA" w:rsidRPr="00054B84" w:rsidRDefault="00EF03CA" w:rsidP="00F323D9">
            <w:pPr>
              <w:rPr>
                <w:rStyle w:val="Strong"/>
                <w:b w:val="0"/>
                <w:bCs w:val="0"/>
              </w:rPr>
            </w:pPr>
            <w:r w:rsidRPr="00054B84">
              <w:rPr>
                <w:rStyle w:val="Strong"/>
                <w:b w:val="0"/>
                <w:bCs w:val="0"/>
              </w:rPr>
              <w:t>Clear thresholds would provide more certainty but must be calibrated.</w:t>
            </w:r>
          </w:p>
        </w:tc>
        <w:tc>
          <w:tcPr>
            <w:tcW w:w="6442" w:type="dxa"/>
            <w:tcBorders>
              <w:top w:val="single" w:sz="4" w:space="0" w:color="auto"/>
              <w:left w:val="single" w:sz="4" w:space="0" w:color="auto"/>
              <w:bottom w:val="single" w:sz="4" w:space="0" w:color="auto"/>
              <w:right w:val="single" w:sz="4" w:space="0" w:color="auto"/>
            </w:tcBorders>
            <w:hideMark/>
          </w:tcPr>
          <w:p w14:paraId="5B180ACB" w14:textId="0C3B046C" w:rsidR="0059323F" w:rsidRPr="00054B84" w:rsidRDefault="0059323F" w:rsidP="00F323D9">
            <w:pPr>
              <w:rPr>
                <w:rStyle w:val="Strong"/>
                <w:b w:val="0"/>
                <w:bCs w:val="0"/>
              </w:rPr>
            </w:pPr>
            <w:r w:rsidRPr="00054B84">
              <w:rPr>
                <w:rStyle w:val="Strong"/>
                <w:b w:val="0"/>
                <w:bCs w:val="0"/>
              </w:rPr>
              <w:t>The person or people acquiring control of the business or assets will</w:t>
            </w:r>
            <w:r w:rsidR="00940A78" w:rsidRPr="00054B84">
              <w:rPr>
                <w:rStyle w:val="Strong"/>
                <w:b w:val="0"/>
                <w:bCs w:val="0"/>
              </w:rPr>
              <w:t xml:space="preserve"> – if the thresholds are met –</w:t>
            </w:r>
            <w:r w:rsidRPr="00054B84">
              <w:rPr>
                <w:rStyle w:val="Strong"/>
                <w:b w:val="0"/>
                <w:bCs w:val="0"/>
              </w:rPr>
              <w:t xml:space="preserve"> be required to notify the ACCC of a </w:t>
            </w:r>
            <w:r w:rsidR="0018330C" w:rsidRPr="00054B84">
              <w:rPr>
                <w:rStyle w:val="Strong"/>
                <w:b w:val="0"/>
                <w:bCs w:val="0"/>
              </w:rPr>
              <w:t>‘</w:t>
            </w:r>
            <w:r w:rsidRPr="00054B84">
              <w:rPr>
                <w:rStyle w:val="Strong"/>
                <w:b w:val="0"/>
                <w:bCs w:val="0"/>
              </w:rPr>
              <w:t>merger</w:t>
            </w:r>
            <w:r w:rsidR="0018330C" w:rsidRPr="00054B84">
              <w:rPr>
                <w:rStyle w:val="Strong"/>
                <w:b w:val="0"/>
                <w:bCs w:val="0"/>
              </w:rPr>
              <w:t>’</w:t>
            </w:r>
            <w:r w:rsidRPr="00054B84">
              <w:rPr>
                <w:rStyle w:val="Strong"/>
                <w:b w:val="0"/>
                <w:bCs w:val="0"/>
              </w:rPr>
              <w:t xml:space="preserve">. </w:t>
            </w:r>
          </w:p>
          <w:p w14:paraId="7E7A8F6F" w14:textId="316ACCFD" w:rsidR="00CC6298" w:rsidRPr="00054B84" w:rsidRDefault="00CC6298" w:rsidP="00F323D9">
            <w:pPr>
              <w:rPr>
                <w:rStyle w:val="Strong"/>
                <w:b w:val="0"/>
                <w:bCs w:val="0"/>
              </w:rPr>
            </w:pPr>
            <w:r w:rsidRPr="00054B84">
              <w:rPr>
                <w:rStyle w:val="Strong"/>
                <w:b w:val="0"/>
                <w:bCs w:val="0"/>
              </w:rPr>
              <w:t xml:space="preserve">Thresholds will be monetary and supply/market share-based, balancing regulatory burden with potential harm to competition. </w:t>
            </w:r>
          </w:p>
          <w:p w14:paraId="3B2B894A" w14:textId="762ADB13" w:rsidR="00940A78" w:rsidRPr="00054B84" w:rsidRDefault="00CC6298" w:rsidP="00F323D9">
            <w:pPr>
              <w:rPr>
                <w:rStyle w:val="Strong"/>
                <w:b w:val="0"/>
                <w:bCs w:val="0"/>
              </w:rPr>
            </w:pPr>
            <w:r w:rsidRPr="00054B84">
              <w:rPr>
                <w:rStyle w:val="Strong"/>
                <w:b w:val="0"/>
                <w:bCs w:val="0"/>
              </w:rPr>
              <w:t xml:space="preserve">There will also be a Ministerial power to introduce additional targeted notification thresholds in response to evidence-based concerns </w:t>
            </w:r>
            <w:r w:rsidR="00296761">
              <w:rPr>
                <w:rStyle w:val="Strong"/>
                <w:b w:val="0"/>
                <w:bCs w:val="0"/>
              </w:rPr>
              <w:t>regarding certain</w:t>
            </w:r>
            <w:r w:rsidRPr="00054B84">
              <w:rPr>
                <w:rStyle w:val="Strong"/>
                <w:b w:val="0"/>
                <w:bCs w:val="0"/>
              </w:rPr>
              <w:t xml:space="preserve"> high-risk mergers.</w:t>
            </w:r>
          </w:p>
          <w:p w14:paraId="11E4E4E6" w14:textId="4037E3D0" w:rsidR="0059323F" w:rsidRPr="00054B84" w:rsidRDefault="0059323F" w:rsidP="00F323D9">
            <w:pPr>
              <w:rPr>
                <w:rStyle w:val="Strong"/>
                <w:b w:val="0"/>
                <w:bCs w:val="0"/>
              </w:rPr>
            </w:pPr>
            <w:r w:rsidRPr="00054B84">
              <w:rPr>
                <w:rStyle w:val="Strong"/>
                <w:b w:val="0"/>
                <w:bCs w:val="0"/>
              </w:rPr>
              <w:t>M</w:t>
            </w:r>
            <w:r w:rsidR="00D86702" w:rsidRPr="00054B84">
              <w:rPr>
                <w:rStyle w:val="Strong"/>
                <w:b w:val="0"/>
                <w:bCs w:val="0"/>
              </w:rPr>
              <w:t xml:space="preserve">ergers below the thresholds may also be voluntarily notified to the </w:t>
            </w:r>
            <w:bookmarkStart w:id="59" w:name="_Int_tlUkX9wA"/>
            <w:r w:rsidR="00D86702" w:rsidRPr="00054B84">
              <w:rPr>
                <w:rStyle w:val="Strong"/>
                <w:b w:val="0"/>
                <w:bCs w:val="0"/>
              </w:rPr>
              <w:t>ACCC</w:t>
            </w:r>
            <w:bookmarkEnd w:id="59"/>
            <w:r w:rsidRPr="00054B84">
              <w:rPr>
                <w:rStyle w:val="Strong"/>
                <w:b w:val="0"/>
                <w:bCs w:val="0"/>
              </w:rPr>
              <w:t xml:space="preserve">. Such mergers would be subject to the same administrative system as above-the-threshold mergers. </w:t>
            </w:r>
          </w:p>
          <w:p w14:paraId="4DCE391E" w14:textId="71DBB008" w:rsidR="0059323F" w:rsidRPr="00054B84" w:rsidRDefault="0059323F" w:rsidP="00F323D9">
            <w:pPr>
              <w:rPr>
                <w:rStyle w:val="Strong"/>
                <w:b w:val="0"/>
                <w:bCs w:val="0"/>
              </w:rPr>
            </w:pPr>
            <w:r w:rsidRPr="00054B84">
              <w:rPr>
                <w:rStyle w:val="Strong"/>
                <w:b w:val="0"/>
                <w:bCs w:val="0"/>
              </w:rPr>
              <w:t>The ACCC will not have the ability to ‘call-in’ mergers below the thresholds for review, but the ACCC may investigate a below-the-threshold merger for breach of any other relevant provisions of the CCA as only notified mergers will receive the benefit of anti-overlap provisions.</w:t>
            </w:r>
          </w:p>
        </w:tc>
      </w:tr>
      <w:tr w:rsidR="00D86702" w14:paraId="4A6AD5A2"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702959E" w14:textId="4458CFC4" w:rsidR="00D86702" w:rsidRPr="002D3D60" w:rsidRDefault="00D86702" w:rsidP="002D3D60">
            <w:pPr>
              <w:rPr>
                <w:rStyle w:val="Strong"/>
                <w:bCs w:val="0"/>
              </w:rPr>
            </w:pPr>
            <w:r w:rsidRPr="00004FEC">
              <w:rPr>
                <w:rStyle w:val="Strong"/>
                <w:bCs w:val="0"/>
              </w:rPr>
              <w:t xml:space="preserve">Upfront </w:t>
            </w:r>
            <w:r w:rsidR="00887926" w:rsidRPr="00004FEC">
              <w:rPr>
                <w:rStyle w:val="Strong"/>
                <w:bCs w:val="0"/>
              </w:rPr>
              <w:t xml:space="preserve">notification </w:t>
            </w:r>
            <w:r w:rsidRPr="00004FEC">
              <w:rPr>
                <w:rStyle w:val="Strong"/>
                <w:bCs w:val="0"/>
              </w:rPr>
              <w:t>requirements</w:t>
            </w:r>
          </w:p>
        </w:tc>
        <w:tc>
          <w:tcPr>
            <w:tcW w:w="6437" w:type="dxa"/>
            <w:tcBorders>
              <w:top w:val="single" w:sz="4" w:space="0" w:color="auto"/>
              <w:left w:val="single" w:sz="4" w:space="0" w:color="auto"/>
              <w:bottom w:val="single" w:sz="4" w:space="0" w:color="auto"/>
              <w:right w:val="single" w:sz="4" w:space="0" w:color="auto"/>
            </w:tcBorders>
            <w:hideMark/>
          </w:tcPr>
          <w:p w14:paraId="3932D6D8" w14:textId="7AE933A6" w:rsidR="00D86702" w:rsidRPr="00054B84" w:rsidRDefault="00D86702" w:rsidP="00F323D9">
            <w:pPr>
              <w:rPr>
                <w:rStyle w:val="Strong"/>
                <w:b w:val="0"/>
                <w:bCs w:val="0"/>
              </w:rPr>
            </w:pPr>
            <w:r w:rsidRPr="00054B84">
              <w:rPr>
                <w:rStyle w:val="Strong"/>
                <w:b w:val="0"/>
                <w:bCs w:val="0"/>
              </w:rPr>
              <w:t xml:space="preserve">Information requirements should be clearer and proportionate, and merger parties are best placed to provide information to facilitate efficient and effective </w:t>
            </w:r>
            <w:r w:rsidR="00EF1053" w:rsidRPr="00054B84">
              <w:rPr>
                <w:rStyle w:val="Strong"/>
                <w:b w:val="0"/>
                <w:bCs w:val="0"/>
              </w:rPr>
              <w:t>assessment.</w:t>
            </w:r>
          </w:p>
        </w:tc>
        <w:tc>
          <w:tcPr>
            <w:tcW w:w="6442" w:type="dxa"/>
            <w:tcBorders>
              <w:top w:val="single" w:sz="4" w:space="0" w:color="auto"/>
              <w:left w:val="single" w:sz="4" w:space="0" w:color="auto"/>
              <w:bottom w:val="single" w:sz="4" w:space="0" w:color="auto"/>
              <w:right w:val="single" w:sz="4" w:space="0" w:color="auto"/>
            </w:tcBorders>
            <w:hideMark/>
          </w:tcPr>
          <w:p w14:paraId="6E68ED77" w14:textId="1E277A48" w:rsidR="00D86702" w:rsidRPr="00054B84" w:rsidRDefault="00D86702" w:rsidP="00F323D9">
            <w:pPr>
              <w:rPr>
                <w:rStyle w:val="Strong"/>
                <w:b w:val="0"/>
                <w:bCs w:val="0"/>
              </w:rPr>
            </w:pPr>
            <w:r w:rsidRPr="00054B84">
              <w:rPr>
                <w:rStyle w:val="Strong"/>
                <w:b w:val="0"/>
                <w:bCs w:val="0"/>
              </w:rPr>
              <w:t xml:space="preserve">Notification requirements calibrated to likelihood that transaction raises competition concerns; enables ACCC to properly undertake its review and to efficiently and </w:t>
            </w:r>
            <w:r w:rsidR="00983AA9" w:rsidRPr="00054B84">
              <w:rPr>
                <w:rStyle w:val="Strong"/>
                <w:b w:val="0"/>
                <w:bCs w:val="0"/>
              </w:rPr>
              <w:t xml:space="preserve">promptly </w:t>
            </w:r>
            <w:r w:rsidRPr="00054B84">
              <w:rPr>
                <w:rStyle w:val="Strong"/>
                <w:b w:val="0"/>
                <w:bCs w:val="0"/>
              </w:rPr>
              <w:t xml:space="preserve">differentiate benign </w:t>
            </w:r>
            <w:r w:rsidR="00EF1053" w:rsidRPr="00054B84">
              <w:rPr>
                <w:rStyle w:val="Strong"/>
                <w:b w:val="0"/>
                <w:bCs w:val="0"/>
              </w:rPr>
              <w:t>mergers.</w:t>
            </w:r>
          </w:p>
        </w:tc>
      </w:tr>
      <w:tr w:rsidR="00D86702" w14:paraId="42FEE8E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F9274CD" w14:textId="77777777" w:rsidR="00D86702" w:rsidRPr="002D3D60" w:rsidRDefault="00D86702" w:rsidP="002D3D60">
            <w:pPr>
              <w:rPr>
                <w:rStyle w:val="Strong"/>
                <w:bCs w:val="0"/>
              </w:rPr>
            </w:pPr>
            <w:r w:rsidRPr="00004FEC">
              <w:rPr>
                <w:rStyle w:val="Strong"/>
                <w:bCs w:val="0"/>
              </w:rPr>
              <w:t>Fees</w:t>
            </w:r>
          </w:p>
        </w:tc>
        <w:tc>
          <w:tcPr>
            <w:tcW w:w="6437" w:type="dxa"/>
            <w:tcBorders>
              <w:top w:val="single" w:sz="4" w:space="0" w:color="auto"/>
              <w:left w:val="single" w:sz="4" w:space="0" w:color="auto"/>
              <w:bottom w:val="single" w:sz="4" w:space="0" w:color="auto"/>
              <w:right w:val="single" w:sz="4" w:space="0" w:color="auto"/>
            </w:tcBorders>
            <w:hideMark/>
          </w:tcPr>
          <w:p w14:paraId="3097CB38" w14:textId="63DEF13F" w:rsidR="00D86702" w:rsidRPr="00054B84" w:rsidRDefault="00D86702" w:rsidP="00F323D9">
            <w:pPr>
              <w:rPr>
                <w:rStyle w:val="Strong"/>
                <w:b w:val="0"/>
                <w:bCs w:val="0"/>
              </w:rPr>
            </w:pPr>
            <w:r w:rsidRPr="00054B84">
              <w:rPr>
                <w:rStyle w:val="Strong"/>
                <w:b w:val="0"/>
                <w:bCs w:val="0"/>
              </w:rPr>
              <w:t xml:space="preserve">Cost is currently borne by the public and ACCC needs to be appropriately </w:t>
            </w:r>
            <w:r w:rsidR="00EA1C82" w:rsidRPr="00054B84">
              <w:rPr>
                <w:rStyle w:val="Strong"/>
                <w:b w:val="0"/>
                <w:bCs w:val="0"/>
              </w:rPr>
              <w:t>resourced.</w:t>
            </w:r>
          </w:p>
        </w:tc>
        <w:tc>
          <w:tcPr>
            <w:tcW w:w="6442" w:type="dxa"/>
            <w:tcBorders>
              <w:top w:val="single" w:sz="4" w:space="0" w:color="auto"/>
              <w:left w:val="single" w:sz="4" w:space="0" w:color="auto"/>
              <w:bottom w:val="single" w:sz="4" w:space="0" w:color="auto"/>
              <w:right w:val="single" w:sz="4" w:space="0" w:color="auto"/>
            </w:tcBorders>
            <w:hideMark/>
          </w:tcPr>
          <w:p w14:paraId="4A5BE8CD" w14:textId="185AE360" w:rsidR="00D86702" w:rsidRPr="00054B84" w:rsidRDefault="00D86702" w:rsidP="00F323D9">
            <w:pPr>
              <w:rPr>
                <w:rStyle w:val="Strong"/>
                <w:b w:val="0"/>
                <w:bCs w:val="0"/>
              </w:rPr>
            </w:pPr>
            <w:r w:rsidRPr="00054B84">
              <w:rPr>
                <w:rStyle w:val="Strong"/>
                <w:b w:val="0"/>
                <w:bCs w:val="0"/>
              </w:rPr>
              <w:t>All merger notifications accompanied by a fee (subject to consultation)</w:t>
            </w:r>
            <w:r w:rsidR="0082003E" w:rsidRPr="00054B84">
              <w:rPr>
                <w:rStyle w:val="Strong"/>
                <w:b w:val="0"/>
                <w:bCs w:val="0"/>
              </w:rPr>
              <w:t xml:space="preserve">. </w:t>
            </w:r>
            <w:r w:rsidR="00F04647" w:rsidRPr="00054B84">
              <w:rPr>
                <w:rStyle w:val="Strong"/>
                <w:b w:val="0"/>
                <w:bCs w:val="0"/>
              </w:rPr>
              <w:t>An exemption from fees will be available for small business.</w:t>
            </w:r>
            <w:r w:rsidR="00D927FE" w:rsidRPr="00054B84">
              <w:rPr>
                <w:rStyle w:val="Strong"/>
                <w:b w:val="0"/>
                <w:bCs w:val="0"/>
              </w:rPr>
              <w:t xml:space="preserve"> This ensures ACCC </w:t>
            </w:r>
            <w:r w:rsidR="001A54D3" w:rsidRPr="00054B84">
              <w:rPr>
                <w:rStyle w:val="Strong"/>
                <w:b w:val="0"/>
                <w:bCs w:val="0"/>
              </w:rPr>
              <w:t xml:space="preserve">is appropriately resourced and </w:t>
            </w:r>
            <w:r w:rsidR="00D927FE" w:rsidRPr="00054B84">
              <w:rPr>
                <w:rStyle w:val="Strong"/>
                <w:b w:val="0"/>
                <w:bCs w:val="0"/>
              </w:rPr>
              <w:t>funding is responsive to need.</w:t>
            </w:r>
          </w:p>
        </w:tc>
      </w:tr>
      <w:tr w:rsidR="00D86702" w14:paraId="5ABEC6F7"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483A8784" w14:textId="6B8ADB18" w:rsidR="00D86702" w:rsidRPr="00004FEC" w:rsidRDefault="00D86702" w:rsidP="002D3D60">
            <w:pPr>
              <w:rPr>
                <w:rStyle w:val="Strong"/>
                <w:b w:val="0"/>
                <w:bCs w:val="0"/>
              </w:rPr>
            </w:pPr>
            <w:r w:rsidRPr="00004FEC">
              <w:rPr>
                <w:rStyle w:val="Strong"/>
                <w:bCs w:val="0"/>
              </w:rPr>
              <w:t>Suspens</w:t>
            </w:r>
            <w:r w:rsidR="00873A8C" w:rsidRPr="00004FEC">
              <w:rPr>
                <w:rStyle w:val="Strong"/>
                <w:bCs w:val="0"/>
              </w:rPr>
              <w:t>ory timelines supporting prompt review</w:t>
            </w:r>
          </w:p>
        </w:tc>
        <w:tc>
          <w:tcPr>
            <w:tcW w:w="6437" w:type="dxa"/>
            <w:tcBorders>
              <w:top w:val="single" w:sz="4" w:space="0" w:color="auto"/>
              <w:left w:val="single" w:sz="4" w:space="0" w:color="auto"/>
              <w:bottom w:val="single" w:sz="4" w:space="0" w:color="auto"/>
              <w:right w:val="single" w:sz="4" w:space="0" w:color="auto"/>
            </w:tcBorders>
            <w:hideMark/>
          </w:tcPr>
          <w:p w14:paraId="62209382" w14:textId="77777777" w:rsidR="00D86702" w:rsidRPr="00054B84" w:rsidRDefault="00D86702">
            <w:pPr>
              <w:rPr>
                <w:rStyle w:val="Strong"/>
                <w:b w:val="0"/>
                <w:bCs w:val="0"/>
              </w:rPr>
            </w:pPr>
            <w:r w:rsidRPr="00054B84">
              <w:rPr>
                <w:rStyle w:val="Strong"/>
                <w:b w:val="0"/>
                <w:bCs w:val="0"/>
              </w:rPr>
              <w:t xml:space="preserve">ACCC should have sufficient time to review mergers before </w:t>
            </w:r>
            <w:r w:rsidR="00EA1C82" w:rsidRPr="00054B84">
              <w:rPr>
                <w:rStyle w:val="Strong"/>
                <w:b w:val="0"/>
                <w:bCs w:val="0"/>
              </w:rPr>
              <w:t>completion.</w:t>
            </w:r>
          </w:p>
          <w:p w14:paraId="1909A73D" w14:textId="77777777" w:rsidR="00B9134E" w:rsidRPr="00054B84" w:rsidRDefault="00B9134E" w:rsidP="00B9134E">
            <w:pPr>
              <w:rPr>
                <w:rStyle w:val="Strong"/>
                <w:b w:val="0"/>
                <w:bCs w:val="0"/>
              </w:rPr>
            </w:pPr>
            <w:r w:rsidRPr="00054B84">
              <w:rPr>
                <w:rStyle w:val="Strong"/>
                <w:b w:val="0"/>
                <w:bCs w:val="0"/>
              </w:rPr>
              <w:t>ACCC currently not bound by timelines in informal review process which creates significant uncertainty for businesses and for market participants to engage.</w:t>
            </w:r>
          </w:p>
          <w:p w14:paraId="2261A0E9" w14:textId="77777777" w:rsidR="00B9134E" w:rsidRPr="00054B84" w:rsidRDefault="00B9134E" w:rsidP="00B9134E">
            <w:pPr>
              <w:rPr>
                <w:rStyle w:val="Strong"/>
                <w:b w:val="0"/>
                <w:bCs w:val="0"/>
              </w:rPr>
            </w:pPr>
            <w:r w:rsidRPr="00054B84">
              <w:rPr>
                <w:rStyle w:val="Strong"/>
                <w:b w:val="0"/>
                <w:bCs w:val="0"/>
              </w:rPr>
              <w:t>Delays in merger reviews can be very costly for businesses.</w:t>
            </w:r>
          </w:p>
          <w:p w14:paraId="086DAE5F" w14:textId="3EF0B75A" w:rsidR="00B9134E" w:rsidRPr="00054B84" w:rsidRDefault="00B9134E">
            <w:pPr>
              <w:rPr>
                <w:rStyle w:val="Strong"/>
                <w:b w:val="0"/>
                <w:bCs w:val="0"/>
              </w:rPr>
            </w:pPr>
            <w:r w:rsidRPr="00054B84">
              <w:rPr>
                <w:rStyle w:val="Strong"/>
                <w:b w:val="0"/>
                <w:bCs w:val="0"/>
              </w:rPr>
              <w:lastRenderedPageBreak/>
              <w:t>Robust, clear time frames would provide more certainty.</w:t>
            </w:r>
          </w:p>
        </w:tc>
        <w:tc>
          <w:tcPr>
            <w:tcW w:w="6442" w:type="dxa"/>
            <w:tcBorders>
              <w:top w:val="single" w:sz="4" w:space="0" w:color="auto"/>
              <w:left w:val="single" w:sz="4" w:space="0" w:color="auto"/>
              <w:bottom w:val="single" w:sz="4" w:space="0" w:color="auto"/>
              <w:right w:val="single" w:sz="4" w:space="0" w:color="auto"/>
            </w:tcBorders>
            <w:hideMark/>
          </w:tcPr>
          <w:p w14:paraId="618F066F" w14:textId="77777777" w:rsidR="00B9134E" w:rsidRPr="00054B84" w:rsidRDefault="00B9134E" w:rsidP="00B9134E">
            <w:pPr>
              <w:spacing w:after="60"/>
              <w:rPr>
                <w:rStyle w:val="Strong"/>
                <w:b w:val="0"/>
                <w:bCs w:val="0"/>
              </w:rPr>
            </w:pPr>
            <w:r w:rsidRPr="00054B84">
              <w:rPr>
                <w:rStyle w:val="Strong"/>
                <w:b w:val="0"/>
                <w:bCs w:val="0"/>
              </w:rPr>
              <w:lastRenderedPageBreak/>
              <w:t>Mergers are time sensitive, and prompt decision-making is critical. Clear review timelines are an important procedural safeguard and will assist merger parties in transaction planning and interested stakeholders to engage with the ACCC’s review.</w:t>
            </w:r>
          </w:p>
          <w:p w14:paraId="68D59244" w14:textId="490417BC" w:rsidR="00343376" w:rsidRPr="00054B84" w:rsidRDefault="00D86702" w:rsidP="00E34FDF">
            <w:pPr>
              <w:rPr>
                <w:rStyle w:val="Strong"/>
                <w:b w:val="0"/>
                <w:bCs w:val="0"/>
              </w:rPr>
            </w:pPr>
            <w:r w:rsidRPr="00054B84">
              <w:rPr>
                <w:rStyle w:val="Strong"/>
                <w:b w:val="0"/>
                <w:bCs w:val="0"/>
              </w:rPr>
              <w:t xml:space="preserve">Acquirer must receive determination from the ACCC before closing notifiable </w:t>
            </w:r>
            <w:r w:rsidR="00EA1C82" w:rsidRPr="00054B84">
              <w:rPr>
                <w:rStyle w:val="Strong"/>
                <w:b w:val="0"/>
                <w:bCs w:val="0"/>
              </w:rPr>
              <w:t>transaction</w:t>
            </w:r>
            <w:r w:rsidR="00B70483" w:rsidRPr="00054B84">
              <w:rPr>
                <w:rStyle w:val="Strong"/>
                <w:b w:val="0"/>
                <w:bCs w:val="0"/>
              </w:rPr>
              <w:t>.</w:t>
            </w:r>
          </w:p>
          <w:p w14:paraId="6603B284" w14:textId="77777777" w:rsidR="00B9134E" w:rsidRPr="00054B84" w:rsidRDefault="00B9134E" w:rsidP="00B9134E">
            <w:pPr>
              <w:spacing w:after="60"/>
              <w:rPr>
                <w:rStyle w:val="Strong"/>
                <w:b w:val="0"/>
                <w:bCs w:val="0"/>
              </w:rPr>
            </w:pPr>
            <w:r w:rsidRPr="00054B84">
              <w:rPr>
                <w:rStyle w:val="Strong"/>
                <w:b w:val="0"/>
                <w:bCs w:val="0"/>
              </w:rPr>
              <w:lastRenderedPageBreak/>
              <w:t xml:space="preserve">Indicative timelines (subject to consultation): </w:t>
            </w:r>
          </w:p>
          <w:p w14:paraId="36E45562"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Phase I: 30 working days</w:t>
            </w:r>
          </w:p>
          <w:p w14:paraId="70AC6BDD"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Phase II: 90 working days</w:t>
            </w:r>
          </w:p>
          <w:p w14:paraId="21B2E045"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Option of fast-track determination if no concerns identified after 15 working days</w:t>
            </w:r>
          </w:p>
          <w:p w14:paraId="66526898" w14:textId="77777777" w:rsidR="00B9134E" w:rsidRPr="00054B84" w:rsidRDefault="00B9134E" w:rsidP="00B9134E">
            <w:pPr>
              <w:pStyle w:val="Bullet"/>
              <w:numPr>
                <w:ilvl w:val="0"/>
                <w:numId w:val="33"/>
              </w:numPr>
              <w:rPr>
                <w:rStyle w:val="Strong"/>
                <w:b w:val="0"/>
                <w:bCs w:val="0"/>
              </w:rPr>
            </w:pPr>
            <w:r w:rsidRPr="00054B84">
              <w:rPr>
                <w:rStyle w:val="Strong"/>
                <w:b w:val="0"/>
                <w:bCs w:val="0"/>
              </w:rPr>
              <w:t>Approval for substantial public benefits: 50 working days</w:t>
            </w:r>
          </w:p>
          <w:p w14:paraId="02836B89" w14:textId="77777777" w:rsidR="00B9134E" w:rsidRPr="00054B84" w:rsidRDefault="00B9134E" w:rsidP="00B9134E">
            <w:pPr>
              <w:rPr>
                <w:rStyle w:val="Strong"/>
                <w:b w:val="0"/>
                <w:bCs w:val="0"/>
              </w:rPr>
            </w:pPr>
            <w:r w:rsidRPr="00054B84">
              <w:rPr>
                <w:rStyle w:val="Strong"/>
                <w:b w:val="0"/>
                <w:bCs w:val="0"/>
              </w:rPr>
              <w:t xml:space="preserve">Time periods may be extended in limited circumstances. </w:t>
            </w:r>
          </w:p>
          <w:p w14:paraId="72C716B3" w14:textId="06C111DB" w:rsidR="00B9134E" w:rsidRPr="00054B84" w:rsidRDefault="00B9134E" w:rsidP="00B9134E">
            <w:pPr>
              <w:rPr>
                <w:rStyle w:val="Strong"/>
                <w:b w:val="0"/>
                <w:bCs w:val="0"/>
              </w:rPr>
            </w:pPr>
            <w:r w:rsidRPr="00054B84">
              <w:rPr>
                <w:rStyle w:val="Strong"/>
                <w:b w:val="0"/>
                <w:bCs w:val="0"/>
              </w:rPr>
              <w:t>If no ACCC determination within a certain time period, transaction will be permitted to proceed.</w:t>
            </w:r>
          </w:p>
        </w:tc>
      </w:tr>
      <w:tr w:rsidR="00D86702" w14:paraId="347B77EB"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63E3C7F9" w14:textId="1E4395EC" w:rsidR="00D86702" w:rsidRPr="00004FEC" w:rsidRDefault="00D86702" w:rsidP="00004FEC">
            <w:pPr>
              <w:pStyle w:val="TableSecondHeading"/>
              <w:jc w:val="center"/>
              <w:rPr>
                <w:rStyle w:val="Strong"/>
                <w:b/>
                <w:bCs w:val="0"/>
              </w:rPr>
            </w:pPr>
            <w:r w:rsidRPr="00004FEC">
              <w:rPr>
                <w:rStyle w:val="Strong"/>
                <w:b/>
                <w:bCs w:val="0"/>
                <w:color w:val="auto"/>
              </w:rPr>
              <w:lastRenderedPageBreak/>
              <w:t>Assessment</w:t>
            </w:r>
          </w:p>
        </w:tc>
      </w:tr>
      <w:tr w:rsidR="00D86702" w14:paraId="7CCE17A8"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FB451C0" w14:textId="3D0F766B" w:rsidR="00D86702" w:rsidRPr="002D3D60" w:rsidRDefault="00F21888" w:rsidP="002D3D60">
            <w:pPr>
              <w:rPr>
                <w:rStyle w:val="Strong"/>
                <w:bCs w:val="0"/>
              </w:rPr>
            </w:pPr>
            <w:r w:rsidRPr="00004FEC">
              <w:rPr>
                <w:rStyle w:val="Strong"/>
                <w:bCs w:val="0"/>
              </w:rPr>
              <w:t xml:space="preserve">A stronger, expert administrative </w:t>
            </w:r>
            <w:r w:rsidR="00D86702" w:rsidRPr="00004FEC">
              <w:rPr>
                <w:rStyle w:val="Strong"/>
                <w:bCs w:val="0"/>
              </w:rPr>
              <w:t>decision-maker</w:t>
            </w:r>
          </w:p>
        </w:tc>
        <w:tc>
          <w:tcPr>
            <w:tcW w:w="6437" w:type="dxa"/>
            <w:tcBorders>
              <w:top w:val="single" w:sz="4" w:space="0" w:color="auto"/>
              <w:left w:val="single" w:sz="4" w:space="0" w:color="auto"/>
              <w:bottom w:val="single" w:sz="4" w:space="0" w:color="auto"/>
              <w:right w:val="single" w:sz="4" w:space="0" w:color="auto"/>
            </w:tcBorders>
            <w:hideMark/>
          </w:tcPr>
          <w:p w14:paraId="43B13BB8" w14:textId="5603731D" w:rsidR="00D86702" w:rsidRPr="00054B84" w:rsidRDefault="00D86702">
            <w:pPr>
              <w:rPr>
                <w:rStyle w:val="Strong"/>
                <w:b w:val="0"/>
                <w:bCs w:val="0"/>
              </w:rPr>
            </w:pPr>
            <w:r w:rsidRPr="00054B84">
              <w:rPr>
                <w:rStyle w:val="Strong"/>
                <w:b w:val="0"/>
                <w:bCs w:val="0"/>
              </w:rPr>
              <w:t xml:space="preserve">Administrative decision-making can be quicker, more accessible for third parties, more transparent and draw on economic expertise more easily than judicial </w:t>
            </w:r>
            <w:r w:rsidR="00EA1C82" w:rsidRPr="00054B84">
              <w:rPr>
                <w:rStyle w:val="Strong"/>
                <w:b w:val="0"/>
                <w:bCs w:val="0"/>
              </w:rPr>
              <w:t>enforcement.</w:t>
            </w:r>
          </w:p>
        </w:tc>
        <w:tc>
          <w:tcPr>
            <w:tcW w:w="6442" w:type="dxa"/>
            <w:tcBorders>
              <w:top w:val="single" w:sz="4" w:space="0" w:color="auto"/>
              <w:left w:val="single" w:sz="4" w:space="0" w:color="auto"/>
              <w:bottom w:val="single" w:sz="4" w:space="0" w:color="auto"/>
              <w:right w:val="single" w:sz="4" w:space="0" w:color="auto"/>
            </w:tcBorders>
            <w:hideMark/>
          </w:tcPr>
          <w:p w14:paraId="1E763E96" w14:textId="062DD57D" w:rsidR="00D86702" w:rsidRPr="00054B84" w:rsidRDefault="00D86702">
            <w:pPr>
              <w:rPr>
                <w:rStyle w:val="Strong"/>
                <w:b w:val="0"/>
                <w:bCs w:val="0"/>
              </w:rPr>
            </w:pPr>
            <w:r w:rsidRPr="00054B84">
              <w:rPr>
                <w:rStyle w:val="Strong"/>
                <w:b w:val="0"/>
                <w:bCs w:val="0"/>
              </w:rPr>
              <w:t xml:space="preserve">ACCC will be the </w:t>
            </w:r>
            <w:r w:rsidR="00B1114C" w:rsidRPr="00054B84">
              <w:rPr>
                <w:rStyle w:val="Strong"/>
                <w:b w:val="0"/>
                <w:bCs w:val="0"/>
              </w:rPr>
              <w:t xml:space="preserve">expert </w:t>
            </w:r>
            <w:r w:rsidRPr="00054B84">
              <w:rPr>
                <w:rStyle w:val="Strong"/>
                <w:b w:val="0"/>
                <w:bCs w:val="0"/>
              </w:rPr>
              <w:t>first</w:t>
            </w:r>
            <w:r w:rsidR="00F976AC" w:rsidRPr="00054B84">
              <w:rPr>
                <w:rStyle w:val="Strong"/>
                <w:b w:val="0"/>
                <w:bCs w:val="0"/>
              </w:rPr>
              <w:t>-</w:t>
            </w:r>
            <w:r w:rsidRPr="00054B84">
              <w:rPr>
                <w:rStyle w:val="Strong"/>
                <w:b w:val="0"/>
                <w:bCs w:val="0"/>
              </w:rPr>
              <w:t xml:space="preserve">instance </w:t>
            </w:r>
            <w:r w:rsidR="00151D20" w:rsidRPr="00054B84">
              <w:rPr>
                <w:rStyle w:val="Strong"/>
                <w:b w:val="0"/>
                <w:bCs w:val="0"/>
              </w:rPr>
              <w:t xml:space="preserve">administrative </w:t>
            </w:r>
            <w:r w:rsidRPr="00054B84">
              <w:rPr>
                <w:rStyle w:val="Strong"/>
                <w:b w:val="0"/>
                <w:bCs w:val="0"/>
              </w:rPr>
              <w:t>decision</w:t>
            </w:r>
            <w:r w:rsidR="000C5264" w:rsidRPr="00054B84">
              <w:rPr>
                <w:rStyle w:val="Strong"/>
                <w:b w:val="0"/>
                <w:bCs w:val="0"/>
              </w:rPr>
              <w:t>-</w:t>
            </w:r>
            <w:r w:rsidRPr="00054B84">
              <w:rPr>
                <w:rStyle w:val="Strong"/>
                <w:b w:val="0"/>
                <w:bCs w:val="0"/>
              </w:rPr>
              <w:t xml:space="preserve">maker with responsibility to determine whether a merger may be put into effect, with or without </w:t>
            </w:r>
            <w:r w:rsidR="00EA1C82" w:rsidRPr="00054B84">
              <w:rPr>
                <w:rStyle w:val="Strong"/>
                <w:b w:val="0"/>
                <w:bCs w:val="0"/>
              </w:rPr>
              <w:t>conditions.</w:t>
            </w:r>
          </w:p>
          <w:p w14:paraId="014CDD2F" w14:textId="0F1CAF00" w:rsidR="00D316E3" w:rsidRPr="00054B84" w:rsidRDefault="00151D20">
            <w:pPr>
              <w:rPr>
                <w:rStyle w:val="Strong"/>
                <w:b w:val="0"/>
                <w:bCs w:val="0"/>
              </w:rPr>
            </w:pPr>
            <w:r w:rsidRPr="00054B84">
              <w:rPr>
                <w:rStyle w:val="Strong"/>
                <w:b w:val="0"/>
                <w:bCs w:val="0"/>
              </w:rPr>
              <w:t>Delivering better</w:t>
            </w:r>
            <w:r w:rsidR="00D316E3" w:rsidRPr="00054B84">
              <w:rPr>
                <w:rStyle w:val="Strong"/>
                <w:b w:val="0"/>
                <w:bCs w:val="0"/>
              </w:rPr>
              <w:t xml:space="preserve"> outcomes: mergers will be assessed by an expert agency, with engagement and information from stakeholders and supported by rigorous legal and economic analysis</w:t>
            </w:r>
            <w:r w:rsidR="00E533C6" w:rsidRPr="00054B84">
              <w:rPr>
                <w:rStyle w:val="Strong"/>
                <w:b w:val="0"/>
                <w:bCs w:val="0"/>
              </w:rPr>
              <w:t xml:space="preserve">. It will enhance accountability, accessibility and transparency of merger review. </w:t>
            </w:r>
          </w:p>
        </w:tc>
      </w:tr>
      <w:tr w:rsidR="00D86702" w14:paraId="48B1F033"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096E8218" w14:textId="153EA8A9" w:rsidR="00D86702" w:rsidRPr="002D3D60" w:rsidRDefault="00B86D38" w:rsidP="002D3D60">
            <w:pPr>
              <w:rPr>
                <w:rStyle w:val="Strong"/>
                <w:bCs w:val="0"/>
              </w:rPr>
            </w:pPr>
            <w:r w:rsidRPr="00004FEC">
              <w:rPr>
                <w:rStyle w:val="Strong"/>
                <w:bCs w:val="0"/>
              </w:rPr>
              <w:t xml:space="preserve">Transparency and </w:t>
            </w:r>
            <w:r w:rsidR="00765A68" w:rsidRPr="00004FEC">
              <w:rPr>
                <w:rStyle w:val="Strong"/>
                <w:bCs w:val="0"/>
              </w:rPr>
              <w:t>predictability</w:t>
            </w:r>
          </w:p>
        </w:tc>
        <w:tc>
          <w:tcPr>
            <w:tcW w:w="6437" w:type="dxa"/>
            <w:tcBorders>
              <w:top w:val="single" w:sz="4" w:space="0" w:color="auto"/>
              <w:left w:val="single" w:sz="4" w:space="0" w:color="auto"/>
              <w:bottom w:val="single" w:sz="4" w:space="0" w:color="auto"/>
              <w:right w:val="single" w:sz="4" w:space="0" w:color="auto"/>
            </w:tcBorders>
            <w:hideMark/>
          </w:tcPr>
          <w:p w14:paraId="6F818DAF" w14:textId="19F7C032" w:rsidR="00D86702" w:rsidRPr="00054B84" w:rsidRDefault="00D86702">
            <w:pPr>
              <w:rPr>
                <w:rStyle w:val="Strong"/>
                <w:b w:val="0"/>
                <w:bCs w:val="0"/>
              </w:rPr>
            </w:pPr>
            <w:r w:rsidRPr="00054B84">
              <w:rPr>
                <w:rStyle w:val="Strong"/>
                <w:b w:val="0"/>
                <w:bCs w:val="0"/>
              </w:rPr>
              <w:t xml:space="preserve">Current informal approach is not </w:t>
            </w:r>
            <w:r w:rsidR="00EA1C82" w:rsidRPr="00054B84">
              <w:rPr>
                <w:rStyle w:val="Strong"/>
                <w:b w:val="0"/>
                <w:bCs w:val="0"/>
              </w:rPr>
              <w:t>transparent.</w:t>
            </w:r>
          </w:p>
          <w:p w14:paraId="582570E7" w14:textId="3B9D1849" w:rsidR="00D86702" w:rsidRPr="00054B84" w:rsidRDefault="00D86702">
            <w:pPr>
              <w:rPr>
                <w:rStyle w:val="Strong"/>
                <w:b w:val="0"/>
                <w:bCs w:val="0"/>
              </w:rPr>
            </w:pPr>
            <w:r w:rsidRPr="00054B84">
              <w:rPr>
                <w:rStyle w:val="Strong"/>
                <w:b w:val="0"/>
                <w:bCs w:val="0"/>
              </w:rPr>
              <w:t xml:space="preserve">Publishing information about mergers reviewed by the ACCC would lead to greater predictability, confidence in ACCC decision-making and broader community </w:t>
            </w:r>
            <w:r w:rsidR="00EA1C82" w:rsidRPr="00054B84">
              <w:rPr>
                <w:rStyle w:val="Strong"/>
                <w:b w:val="0"/>
                <w:bCs w:val="0"/>
              </w:rPr>
              <w:t>awareness.</w:t>
            </w:r>
          </w:p>
        </w:tc>
        <w:tc>
          <w:tcPr>
            <w:tcW w:w="6442" w:type="dxa"/>
            <w:tcBorders>
              <w:top w:val="single" w:sz="4" w:space="0" w:color="auto"/>
              <w:left w:val="single" w:sz="4" w:space="0" w:color="auto"/>
              <w:bottom w:val="single" w:sz="4" w:space="0" w:color="auto"/>
              <w:right w:val="single" w:sz="4" w:space="0" w:color="auto"/>
            </w:tcBorders>
            <w:hideMark/>
          </w:tcPr>
          <w:p w14:paraId="2F693159" w14:textId="2F4FA243" w:rsidR="00D86702" w:rsidRPr="00054B84" w:rsidRDefault="00D86702">
            <w:pPr>
              <w:rPr>
                <w:rStyle w:val="Strong"/>
                <w:b w:val="0"/>
                <w:bCs w:val="0"/>
              </w:rPr>
            </w:pPr>
            <w:r w:rsidRPr="00054B84">
              <w:rPr>
                <w:rStyle w:val="Strong"/>
                <w:b w:val="0"/>
                <w:bCs w:val="0"/>
              </w:rPr>
              <w:t xml:space="preserve">Information about all mergers considered by the ACCC will be listed on a public </w:t>
            </w:r>
            <w:r w:rsidR="00EA1C82" w:rsidRPr="00054B84">
              <w:rPr>
                <w:rStyle w:val="Strong"/>
                <w:b w:val="0"/>
                <w:bCs w:val="0"/>
              </w:rPr>
              <w:t>register.</w:t>
            </w:r>
          </w:p>
          <w:p w14:paraId="7196FE98" w14:textId="6A2ACFD5" w:rsidR="00D86702" w:rsidRPr="00054B84" w:rsidRDefault="00EF474B">
            <w:pPr>
              <w:rPr>
                <w:rStyle w:val="Strong"/>
                <w:b w:val="0"/>
                <w:bCs w:val="0"/>
                <w:highlight w:val="yellow"/>
              </w:rPr>
            </w:pPr>
            <w:r w:rsidRPr="00054B84">
              <w:rPr>
                <w:rStyle w:val="Strong"/>
                <w:b w:val="0"/>
                <w:bCs w:val="0"/>
              </w:rPr>
              <w:t xml:space="preserve">The ACCC will set out the findings on material facts, with reference to the evidence or other material on which those findings were based, and the </w:t>
            </w:r>
            <w:r w:rsidR="00D86702" w:rsidRPr="00054B84">
              <w:rPr>
                <w:rStyle w:val="Strong"/>
                <w:b w:val="0"/>
                <w:bCs w:val="0"/>
              </w:rPr>
              <w:t xml:space="preserve">reasons for </w:t>
            </w:r>
            <w:r w:rsidR="00952128" w:rsidRPr="00054B84">
              <w:rPr>
                <w:rStyle w:val="Strong"/>
                <w:b w:val="0"/>
                <w:bCs w:val="0"/>
              </w:rPr>
              <w:t xml:space="preserve">all </w:t>
            </w:r>
            <w:r w:rsidR="00D86702" w:rsidRPr="00054B84">
              <w:rPr>
                <w:rStyle w:val="Strong"/>
                <w:b w:val="0"/>
                <w:bCs w:val="0"/>
              </w:rPr>
              <w:t xml:space="preserve">decisions commensurate with the substantive review </w:t>
            </w:r>
            <w:r w:rsidR="00EA1C82" w:rsidRPr="00054B84">
              <w:rPr>
                <w:rStyle w:val="Strong"/>
                <w:b w:val="0"/>
                <w:bCs w:val="0"/>
              </w:rPr>
              <w:t>undertaken.</w:t>
            </w:r>
            <w:r w:rsidR="00765A68" w:rsidRPr="00054B84">
              <w:rPr>
                <w:rStyle w:val="Strong"/>
                <w:b w:val="0"/>
                <w:bCs w:val="0"/>
              </w:rPr>
              <w:t xml:space="preserve"> This will facilitate transparency and predictability in the administrative system and shape the boundaries of merger control over time as a body of previous determinations, including the economic and legal reasoning, will develop.</w:t>
            </w:r>
          </w:p>
        </w:tc>
      </w:tr>
      <w:tr w:rsidR="00D86702" w14:paraId="540EC47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6D58AC6A" w14:textId="77777777" w:rsidR="00D86702" w:rsidRPr="002D3D60" w:rsidRDefault="00D86702" w:rsidP="002D3D60">
            <w:pPr>
              <w:rPr>
                <w:rStyle w:val="Strong"/>
                <w:bCs w:val="0"/>
              </w:rPr>
            </w:pPr>
            <w:r w:rsidRPr="00B422D6">
              <w:rPr>
                <w:rStyle w:val="Strong"/>
                <w:bCs w:val="0"/>
              </w:rPr>
              <w:t>Test for decision-maker to apply including ‘merger factors’</w:t>
            </w:r>
          </w:p>
        </w:tc>
        <w:tc>
          <w:tcPr>
            <w:tcW w:w="6437" w:type="dxa"/>
            <w:tcBorders>
              <w:top w:val="single" w:sz="4" w:space="0" w:color="auto"/>
              <w:left w:val="single" w:sz="4" w:space="0" w:color="auto"/>
              <w:bottom w:val="single" w:sz="4" w:space="0" w:color="auto"/>
              <w:right w:val="single" w:sz="4" w:space="0" w:color="auto"/>
            </w:tcBorders>
            <w:hideMark/>
          </w:tcPr>
          <w:p w14:paraId="7DDB612E" w14:textId="1E4BB4A5" w:rsidR="00D86702" w:rsidRPr="00054B84" w:rsidRDefault="00D86702">
            <w:pPr>
              <w:rPr>
                <w:rStyle w:val="Strong"/>
                <w:b w:val="0"/>
                <w:bCs w:val="0"/>
              </w:rPr>
            </w:pPr>
            <w:r w:rsidRPr="00054B84">
              <w:rPr>
                <w:rStyle w:val="Strong"/>
                <w:b w:val="0"/>
                <w:bCs w:val="0"/>
              </w:rPr>
              <w:t xml:space="preserve">‘Substantial lessening of competition’ test is the appropriate framework, but concerns with the requirement to ‘prove’ the counterfactual in forward-looking merger </w:t>
            </w:r>
            <w:r w:rsidR="00EA1C82" w:rsidRPr="00054B84">
              <w:rPr>
                <w:rStyle w:val="Strong"/>
                <w:b w:val="0"/>
                <w:bCs w:val="0"/>
              </w:rPr>
              <w:t>assessments.</w:t>
            </w:r>
          </w:p>
          <w:p w14:paraId="642C1985" w14:textId="0B282137" w:rsidR="00D86702" w:rsidRPr="00054B84" w:rsidRDefault="00D86702">
            <w:pPr>
              <w:rPr>
                <w:rStyle w:val="Strong"/>
                <w:b w:val="0"/>
                <w:bCs w:val="0"/>
              </w:rPr>
            </w:pPr>
            <w:r w:rsidRPr="00054B84">
              <w:rPr>
                <w:rStyle w:val="Strong"/>
                <w:b w:val="0"/>
                <w:bCs w:val="0"/>
              </w:rPr>
              <w:t xml:space="preserve">Reviews could substantially benefit from more rigorous economic and legal </w:t>
            </w:r>
            <w:r w:rsidR="00EA1C82" w:rsidRPr="00054B84">
              <w:rPr>
                <w:rStyle w:val="Strong"/>
                <w:b w:val="0"/>
                <w:bCs w:val="0"/>
              </w:rPr>
              <w:t>analysis.</w:t>
            </w:r>
            <w:r w:rsidRPr="00054B84">
              <w:rPr>
                <w:rStyle w:val="Strong"/>
                <w:b w:val="0"/>
                <w:bCs w:val="0"/>
              </w:rPr>
              <w:t xml:space="preserve"> </w:t>
            </w:r>
          </w:p>
          <w:p w14:paraId="0ADBEE3E" w14:textId="4D25D645" w:rsidR="00D86702" w:rsidRPr="00054B84" w:rsidRDefault="00D86702">
            <w:pPr>
              <w:rPr>
                <w:rStyle w:val="Strong"/>
                <w:b w:val="0"/>
                <w:bCs w:val="0"/>
              </w:rPr>
            </w:pPr>
            <w:r w:rsidRPr="00054B84">
              <w:rPr>
                <w:rStyle w:val="Strong"/>
                <w:b w:val="0"/>
                <w:bCs w:val="0"/>
              </w:rPr>
              <w:lastRenderedPageBreak/>
              <w:t xml:space="preserve">Usefulness of the ‘merger factors’ is somewhat limited; updating guidance to reflect current economic thinking would be more helpful for businesses, advisors and </w:t>
            </w:r>
            <w:r w:rsidR="00EA1C82" w:rsidRPr="00054B84">
              <w:rPr>
                <w:rStyle w:val="Strong"/>
                <w:b w:val="0"/>
                <w:bCs w:val="0"/>
              </w:rPr>
              <w:t>others.</w:t>
            </w:r>
          </w:p>
        </w:tc>
        <w:tc>
          <w:tcPr>
            <w:tcW w:w="6442" w:type="dxa"/>
            <w:tcBorders>
              <w:top w:val="single" w:sz="4" w:space="0" w:color="auto"/>
              <w:left w:val="single" w:sz="4" w:space="0" w:color="auto"/>
              <w:bottom w:val="single" w:sz="4" w:space="0" w:color="auto"/>
              <w:right w:val="single" w:sz="4" w:space="0" w:color="auto"/>
            </w:tcBorders>
            <w:hideMark/>
          </w:tcPr>
          <w:p w14:paraId="52D4C002" w14:textId="77777777" w:rsidR="0076774A" w:rsidRPr="00054B84" w:rsidRDefault="0076774A">
            <w:pPr>
              <w:rPr>
                <w:rStyle w:val="Strong"/>
                <w:b w:val="0"/>
                <w:bCs w:val="0"/>
              </w:rPr>
            </w:pPr>
            <w:r w:rsidRPr="00054B84">
              <w:rPr>
                <w:rStyle w:val="Strong"/>
                <w:b w:val="0"/>
                <w:bCs w:val="0"/>
              </w:rPr>
              <w:lastRenderedPageBreak/>
              <w:t xml:space="preserve">The ACCC will be empowered to protect competition and consumers. </w:t>
            </w:r>
          </w:p>
          <w:p w14:paraId="37313BB7" w14:textId="77777777" w:rsidR="00115319" w:rsidRPr="00054B84" w:rsidRDefault="00D86702">
            <w:pPr>
              <w:rPr>
                <w:rStyle w:val="Strong"/>
                <w:rFonts w:eastAsia="Calibri Light"/>
                <w:b w:val="0"/>
                <w:bCs w:val="0"/>
              </w:rPr>
            </w:pPr>
            <w:r w:rsidRPr="00054B84">
              <w:rPr>
                <w:rStyle w:val="Strong"/>
                <w:b w:val="0"/>
                <w:bCs w:val="0"/>
              </w:rPr>
              <w:t xml:space="preserve">ACCC must determine that a merger can be put into effect </w:t>
            </w:r>
            <w:r w:rsidR="005C774F" w:rsidRPr="00054B84">
              <w:rPr>
                <w:rStyle w:val="Strong"/>
                <w:b w:val="0"/>
                <w:bCs w:val="0"/>
              </w:rPr>
              <w:t xml:space="preserve">(with or </w:t>
            </w:r>
            <w:r w:rsidR="00213EB8" w:rsidRPr="00054B84">
              <w:rPr>
                <w:rStyle w:val="Strong"/>
                <w:b w:val="0"/>
                <w:bCs w:val="0"/>
              </w:rPr>
              <w:t>without</w:t>
            </w:r>
            <w:r w:rsidR="005C774F" w:rsidRPr="00054B84">
              <w:rPr>
                <w:rStyle w:val="Strong"/>
                <w:b w:val="0"/>
                <w:bCs w:val="0"/>
              </w:rPr>
              <w:t xml:space="preserve"> conditions) </w:t>
            </w:r>
            <w:r w:rsidRPr="00054B84">
              <w:rPr>
                <w:rStyle w:val="Strong"/>
                <w:b w:val="0"/>
                <w:bCs w:val="0"/>
              </w:rPr>
              <w:t>unless it considers the merger would have the effect, or be likely to have the effect, of substantially lessening competition in any market,</w:t>
            </w:r>
            <w:r w:rsidRPr="00054B84">
              <w:rPr>
                <w:rStyle w:val="Strong"/>
                <w:rFonts w:eastAsia="Calibri Light"/>
                <w:b w:val="0"/>
                <w:bCs w:val="0"/>
              </w:rPr>
              <w:t xml:space="preserve"> including (but not exclusively) if the merger </w:t>
            </w:r>
            <w:r w:rsidRPr="00054B84">
              <w:rPr>
                <w:rStyle w:val="Strong"/>
                <w:b w:val="0"/>
                <w:bCs w:val="0"/>
              </w:rPr>
              <w:t>creates, strengthens or entrenches</w:t>
            </w:r>
            <w:r w:rsidRPr="00054B84">
              <w:rPr>
                <w:rStyle w:val="Strong"/>
                <w:rFonts w:eastAsia="Calibri Light"/>
                <w:b w:val="0"/>
                <w:bCs w:val="0"/>
              </w:rPr>
              <w:t xml:space="preserve"> a position of substantial market power in any </w:t>
            </w:r>
            <w:r w:rsidR="00EA1C82" w:rsidRPr="00054B84">
              <w:rPr>
                <w:rStyle w:val="Strong"/>
                <w:rFonts w:eastAsia="Calibri Light"/>
                <w:b w:val="0"/>
                <w:bCs w:val="0"/>
              </w:rPr>
              <w:t>market.</w:t>
            </w:r>
            <w:r w:rsidR="00044A69" w:rsidRPr="00054B84">
              <w:rPr>
                <w:rStyle w:val="Strong"/>
                <w:rFonts w:eastAsia="Calibri Light"/>
                <w:b w:val="0"/>
                <w:bCs w:val="0"/>
              </w:rPr>
              <w:t xml:space="preserve"> </w:t>
            </w:r>
          </w:p>
          <w:p w14:paraId="2E4A085A" w14:textId="6523548C" w:rsidR="00D86702" w:rsidRPr="00054B84" w:rsidRDefault="00D86702">
            <w:pPr>
              <w:rPr>
                <w:rStyle w:val="Strong"/>
                <w:b w:val="0"/>
                <w:bCs w:val="0"/>
              </w:rPr>
            </w:pPr>
            <w:r w:rsidRPr="00054B84">
              <w:rPr>
                <w:rStyle w:val="Strong"/>
                <w:b w:val="0"/>
                <w:bCs w:val="0"/>
              </w:rPr>
              <w:lastRenderedPageBreak/>
              <w:t xml:space="preserve">Merger factors to be replaced with </w:t>
            </w:r>
            <w:r w:rsidR="00416E93" w:rsidRPr="00BF289B">
              <w:rPr>
                <w:rStyle w:val="Strong"/>
                <w:b w:val="0"/>
                <w:bCs w:val="0"/>
              </w:rPr>
              <w:t>principles</w:t>
            </w:r>
            <w:r w:rsidRPr="00BF289B">
              <w:rPr>
                <w:rStyle w:val="Strong"/>
                <w:b w:val="0"/>
                <w:bCs w:val="0"/>
              </w:rPr>
              <w:t>, focused</w:t>
            </w:r>
            <w:r w:rsidRPr="00054B84">
              <w:rPr>
                <w:rStyle w:val="Strong"/>
                <w:b w:val="0"/>
                <w:bCs w:val="0"/>
              </w:rPr>
              <w:t xml:space="preserve"> on the conditions for competition, </w:t>
            </w:r>
            <w:r w:rsidR="002D3D60">
              <w:rPr>
                <w:rStyle w:val="Strong"/>
                <w:b w:val="0"/>
                <w:bCs w:val="0"/>
              </w:rPr>
              <w:t xml:space="preserve">also to </w:t>
            </w:r>
            <w:r w:rsidRPr="00054B84">
              <w:rPr>
                <w:rStyle w:val="Strong"/>
                <w:b w:val="0"/>
                <w:bCs w:val="0"/>
              </w:rPr>
              <w:t xml:space="preserve">address concerns with the </w:t>
            </w:r>
            <w:r w:rsidR="00EA1C82" w:rsidRPr="00054B84">
              <w:rPr>
                <w:rStyle w:val="Strong"/>
                <w:b w:val="0"/>
                <w:bCs w:val="0"/>
              </w:rPr>
              <w:t>counterfactual.</w:t>
            </w:r>
            <w:r w:rsidRPr="00054B84">
              <w:rPr>
                <w:rStyle w:val="Strong"/>
                <w:b w:val="0"/>
                <w:bCs w:val="0"/>
              </w:rPr>
              <w:t xml:space="preserve"> </w:t>
            </w:r>
          </w:p>
          <w:p w14:paraId="692F3B9C" w14:textId="71F355E5" w:rsidR="00D86702" w:rsidRPr="00054B84" w:rsidRDefault="00D86702">
            <w:pPr>
              <w:rPr>
                <w:rStyle w:val="Strong"/>
                <w:b w:val="0"/>
                <w:bCs w:val="0"/>
              </w:rPr>
            </w:pPr>
            <w:r w:rsidRPr="00054B84">
              <w:rPr>
                <w:rStyle w:val="Strong"/>
                <w:b w:val="0"/>
                <w:bCs w:val="0"/>
              </w:rPr>
              <w:t xml:space="preserve">ACCC will be expected to update and periodically review its </w:t>
            </w:r>
            <w:r w:rsidR="00EA1C82" w:rsidRPr="00054B84">
              <w:rPr>
                <w:rStyle w:val="Strong"/>
                <w:b w:val="0"/>
                <w:bCs w:val="0"/>
              </w:rPr>
              <w:t>guidance.</w:t>
            </w:r>
          </w:p>
        </w:tc>
      </w:tr>
      <w:tr w:rsidR="00D86702" w14:paraId="0A8910E2"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tcPr>
          <w:p w14:paraId="4F3D3754" w14:textId="751141E0" w:rsidR="00D86702" w:rsidRPr="002D3D60" w:rsidRDefault="00D86702" w:rsidP="002D3D60">
            <w:pPr>
              <w:rPr>
                <w:rStyle w:val="Strong"/>
                <w:bCs w:val="0"/>
              </w:rPr>
            </w:pPr>
            <w:r w:rsidRPr="00B422D6">
              <w:rPr>
                <w:rStyle w:val="Strong"/>
                <w:bCs w:val="0"/>
              </w:rPr>
              <w:lastRenderedPageBreak/>
              <w:t>Substantial market power amendment to ‘substantial lessening of competition’ test</w:t>
            </w:r>
          </w:p>
        </w:tc>
        <w:tc>
          <w:tcPr>
            <w:tcW w:w="6437" w:type="dxa"/>
            <w:tcBorders>
              <w:top w:val="single" w:sz="4" w:space="0" w:color="auto"/>
              <w:left w:val="single" w:sz="4" w:space="0" w:color="auto"/>
              <w:bottom w:val="single" w:sz="4" w:space="0" w:color="auto"/>
              <w:right w:val="single" w:sz="4" w:space="0" w:color="auto"/>
            </w:tcBorders>
          </w:tcPr>
          <w:p w14:paraId="6B1AD233" w14:textId="08C9918B" w:rsidR="00D86702" w:rsidRPr="00054B84" w:rsidRDefault="00D86702">
            <w:pPr>
              <w:rPr>
                <w:rStyle w:val="Strong"/>
                <w:b w:val="0"/>
                <w:bCs w:val="0"/>
              </w:rPr>
            </w:pPr>
            <w:r w:rsidRPr="00054B84">
              <w:rPr>
                <w:rStyle w:val="Strong"/>
                <w:b w:val="0"/>
                <w:bCs w:val="0"/>
              </w:rPr>
              <w:t>Concerns about market power in concentrated sectors, such as supply chains</w:t>
            </w:r>
            <w:r w:rsidR="00E36277">
              <w:rPr>
                <w:rStyle w:val="Strong"/>
                <w:b w:val="0"/>
                <w:bCs w:val="0"/>
              </w:rPr>
              <w:t>.</w:t>
            </w:r>
            <w:r w:rsidRPr="00054B84">
              <w:rPr>
                <w:rStyle w:val="Strong"/>
                <w:b w:val="0"/>
                <w:bCs w:val="0"/>
              </w:rPr>
              <w:t xml:space="preserve"> </w:t>
            </w:r>
          </w:p>
          <w:p w14:paraId="7A806848" w14:textId="4853699B" w:rsidR="00D86702" w:rsidRPr="00054B84" w:rsidRDefault="00D86702">
            <w:pPr>
              <w:rPr>
                <w:rStyle w:val="Strong"/>
                <w:b w:val="0"/>
                <w:bCs w:val="0"/>
              </w:rPr>
            </w:pPr>
            <w:r w:rsidRPr="00054B84">
              <w:rPr>
                <w:rStyle w:val="Strong"/>
                <w:b w:val="0"/>
                <w:bCs w:val="0"/>
              </w:rPr>
              <w:t xml:space="preserve">Acquisitions by firms </w:t>
            </w:r>
            <w:r w:rsidR="009E1C17">
              <w:rPr>
                <w:rStyle w:val="Strong"/>
                <w:b w:val="0"/>
                <w:bCs w:val="0"/>
              </w:rPr>
              <w:t xml:space="preserve">with substantial market power should be captured by the </w:t>
            </w:r>
            <w:r w:rsidRPr="00054B84">
              <w:rPr>
                <w:rStyle w:val="Strong"/>
                <w:b w:val="0"/>
                <w:bCs w:val="0"/>
              </w:rPr>
              <w:t>‘substantial lessening of competition’ test</w:t>
            </w:r>
            <w:r w:rsidR="00E36277">
              <w:rPr>
                <w:rStyle w:val="Strong"/>
                <w:b w:val="0"/>
                <w:bCs w:val="0"/>
              </w:rPr>
              <w:t>.</w:t>
            </w:r>
          </w:p>
        </w:tc>
        <w:tc>
          <w:tcPr>
            <w:tcW w:w="6442" w:type="dxa"/>
            <w:tcBorders>
              <w:top w:val="single" w:sz="4" w:space="0" w:color="auto"/>
              <w:left w:val="single" w:sz="4" w:space="0" w:color="auto"/>
              <w:bottom w:val="single" w:sz="4" w:space="0" w:color="auto"/>
              <w:right w:val="single" w:sz="4" w:space="0" w:color="auto"/>
            </w:tcBorders>
          </w:tcPr>
          <w:p w14:paraId="6B1B17E8" w14:textId="77777777" w:rsidR="0076774A" w:rsidRPr="00054B84" w:rsidRDefault="0076774A" w:rsidP="0076774A">
            <w:pPr>
              <w:rPr>
                <w:rStyle w:val="Strong"/>
                <w:b w:val="0"/>
                <w:bCs w:val="0"/>
              </w:rPr>
            </w:pPr>
            <w:r w:rsidRPr="00054B84">
              <w:rPr>
                <w:rStyle w:val="Strong"/>
                <w:b w:val="0"/>
                <w:bCs w:val="0"/>
              </w:rPr>
              <w:t xml:space="preserve">The ACCC will be empowered to protect competition and consumers. </w:t>
            </w:r>
          </w:p>
          <w:p w14:paraId="2B2D7909" w14:textId="64E20A9C" w:rsidR="00D86702" w:rsidRPr="00054B84" w:rsidRDefault="00D86702">
            <w:pPr>
              <w:rPr>
                <w:rStyle w:val="Strong"/>
                <w:b w:val="0"/>
                <w:bCs w:val="0"/>
              </w:rPr>
            </w:pPr>
            <w:r w:rsidRPr="00054B84">
              <w:rPr>
                <w:rStyle w:val="Strong"/>
                <w:b w:val="0"/>
                <w:bCs w:val="0"/>
              </w:rPr>
              <w:t xml:space="preserve">Clarify that the existing ‘substantial lessening of competition’ test includes </w:t>
            </w:r>
            <w:r w:rsidRPr="00054B84">
              <w:rPr>
                <w:rStyle w:val="Strong"/>
                <w:rFonts w:eastAsia="Calibri Light"/>
                <w:b w:val="0"/>
                <w:bCs w:val="0"/>
              </w:rPr>
              <w:t xml:space="preserve">if the merger </w:t>
            </w:r>
            <w:r w:rsidRPr="00054B84">
              <w:rPr>
                <w:rStyle w:val="Strong"/>
                <w:b w:val="0"/>
                <w:bCs w:val="0"/>
              </w:rPr>
              <w:t>creates, strengthens or entrenches</w:t>
            </w:r>
            <w:r w:rsidRPr="00054B84">
              <w:rPr>
                <w:rStyle w:val="Strong"/>
                <w:rFonts w:eastAsia="Calibri Light"/>
                <w:b w:val="0"/>
                <w:bCs w:val="0"/>
              </w:rPr>
              <w:t xml:space="preserve"> a position of substantial market power in any </w:t>
            </w:r>
            <w:r w:rsidR="00EA1C82" w:rsidRPr="00054B84">
              <w:rPr>
                <w:rStyle w:val="Strong"/>
                <w:rFonts w:eastAsia="Calibri Light"/>
                <w:b w:val="0"/>
                <w:bCs w:val="0"/>
              </w:rPr>
              <w:t>market.</w:t>
            </w:r>
          </w:p>
        </w:tc>
      </w:tr>
      <w:tr w:rsidR="00D86702" w14:paraId="328F447D"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594A9B4" w14:textId="13FD1686" w:rsidR="00D86702" w:rsidRPr="002D3D60" w:rsidRDefault="00D86702" w:rsidP="002D3D60">
            <w:pPr>
              <w:rPr>
                <w:rStyle w:val="Strong"/>
                <w:bCs w:val="0"/>
              </w:rPr>
            </w:pPr>
            <w:r w:rsidRPr="00B422D6">
              <w:rPr>
                <w:rStyle w:val="Strong"/>
                <w:bCs w:val="0"/>
              </w:rPr>
              <w:t>Related agreements</w:t>
            </w:r>
          </w:p>
        </w:tc>
        <w:tc>
          <w:tcPr>
            <w:tcW w:w="6437" w:type="dxa"/>
            <w:tcBorders>
              <w:top w:val="single" w:sz="4" w:space="0" w:color="auto"/>
              <w:left w:val="single" w:sz="4" w:space="0" w:color="auto"/>
              <w:bottom w:val="single" w:sz="4" w:space="0" w:color="auto"/>
              <w:right w:val="single" w:sz="4" w:space="0" w:color="auto"/>
            </w:tcBorders>
            <w:hideMark/>
          </w:tcPr>
          <w:p w14:paraId="433F445E" w14:textId="251EE3EE" w:rsidR="00D86702" w:rsidRPr="00054B84" w:rsidRDefault="004B3B7D">
            <w:pPr>
              <w:rPr>
                <w:rStyle w:val="Strong"/>
                <w:b w:val="0"/>
                <w:bCs w:val="0"/>
                <w:highlight w:val="yellow"/>
              </w:rPr>
            </w:pPr>
            <w:r w:rsidRPr="00054B84">
              <w:rPr>
                <w:rStyle w:val="Strong"/>
                <w:b w:val="0"/>
                <w:bCs w:val="0"/>
              </w:rPr>
              <w:t>Related a</w:t>
            </w:r>
            <w:r w:rsidR="00D86702" w:rsidRPr="00054B84">
              <w:rPr>
                <w:rStyle w:val="Strong"/>
                <w:b w:val="0"/>
                <w:bCs w:val="0"/>
              </w:rPr>
              <w:t xml:space="preserve">greements </w:t>
            </w:r>
            <w:r w:rsidR="00E36277">
              <w:rPr>
                <w:rStyle w:val="Strong"/>
                <w:b w:val="0"/>
                <w:bCs w:val="0"/>
              </w:rPr>
              <w:t>b</w:t>
            </w:r>
            <w:r w:rsidR="00E36277" w:rsidRPr="00E36277">
              <w:rPr>
                <w:rStyle w:val="Strong"/>
                <w:b w:val="0"/>
                <w:bCs w:val="0"/>
              </w:rPr>
              <w:t>y</w:t>
            </w:r>
            <w:r w:rsidR="00087998" w:rsidRPr="00054B84">
              <w:rPr>
                <w:rStyle w:val="Strong"/>
                <w:b w:val="0"/>
                <w:bCs w:val="0"/>
              </w:rPr>
              <w:t xml:space="preserve"> the</w:t>
            </w:r>
            <w:r w:rsidR="00D86702" w:rsidRPr="00054B84">
              <w:rPr>
                <w:rStyle w:val="Strong"/>
                <w:b w:val="0"/>
                <w:bCs w:val="0"/>
              </w:rPr>
              <w:t xml:space="preserve"> merger </w:t>
            </w:r>
            <w:r w:rsidR="00087998" w:rsidRPr="00054B84">
              <w:rPr>
                <w:rStyle w:val="Strong"/>
                <w:b w:val="0"/>
                <w:bCs w:val="0"/>
              </w:rPr>
              <w:t xml:space="preserve">parties </w:t>
            </w:r>
            <w:r w:rsidR="00D86702" w:rsidRPr="00054B84">
              <w:rPr>
                <w:rStyle w:val="Strong"/>
                <w:b w:val="0"/>
                <w:bCs w:val="0"/>
              </w:rPr>
              <w:t xml:space="preserve">should be taken into </w:t>
            </w:r>
            <w:r w:rsidR="00EA1C82" w:rsidRPr="00054B84">
              <w:rPr>
                <w:rStyle w:val="Strong"/>
                <w:b w:val="0"/>
                <w:bCs w:val="0"/>
              </w:rPr>
              <w:t>account.</w:t>
            </w:r>
          </w:p>
        </w:tc>
        <w:tc>
          <w:tcPr>
            <w:tcW w:w="6442" w:type="dxa"/>
            <w:tcBorders>
              <w:top w:val="single" w:sz="4" w:space="0" w:color="auto"/>
              <w:left w:val="single" w:sz="4" w:space="0" w:color="auto"/>
              <w:bottom w:val="single" w:sz="4" w:space="0" w:color="auto"/>
              <w:right w:val="single" w:sz="4" w:space="0" w:color="auto"/>
            </w:tcBorders>
            <w:hideMark/>
          </w:tcPr>
          <w:p w14:paraId="6D2EAC27" w14:textId="176F6763" w:rsidR="00D86702" w:rsidRPr="00E36277" w:rsidRDefault="00D86702">
            <w:pPr>
              <w:rPr>
                <w:rStyle w:val="Strong"/>
                <w:b w:val="0"/>
                <w:bCs w:val="0"/>
              </w:rPr>
            </w:pPr>
            <w:r w:rsidRPr="00054B84">
              <w:rPr>
                <w:rStyle w:val="Strong"/>
                <w:b w:val="0"/>
                <w:bCs w:val="0"/>
              </w:rPr>
              <w:t xml:space="preserve">The </w:t>
            </w:r>
            <w:r w:rsidR="00416E93" w:rsidRPr="00527D24">
              <w:rPr>
                <w:rStyle w:val="Strong"/>
                <w:b w:val="0"/>
                <w:bCs w:val="0"/>
              </w:rPr>
              <w:t xml:space="preserve">principles </w:t>
            </w:r>
            <w:r w:rsidR="00F25E49" w:rsidRPr="00527D24">
              <w:rPr>
                <w:rStyle w:val="Strong"/>
                <w:b w:val="0"/>
                <w:bCs w:val="0"/>
              </w:rPr>
              <w:t>ensure</w:t>
            </w:r>
            <w:r w:rsidR="00F25E49" w:rsidRPr="00054B84">
              <w:rPr>
                <w:rStyle w:val="Strong"/>
                <w:b w:val="0"/>
                <w:bCs w:val="0"/>
              </w:rPr>
              <w:t xml:space="preserve"> </w:t>
            </w:r>
            <w:r w:rsidRPr="00054B84">
              <w:rPr>
                <w:rStyle w:val="Strong"/>
                <w:b w:val="0"/>
                <w:bCs w:val="0"/>
              </w:rPr>
              <w:t>related agreements b</w:t>
            </w:r>
            <w:r w:rsidR="00E36277">
              <w:rPr>
                <w:rStyle w:val="Strong"/>
                <w:b w:val="0"/>
                <w:bCs w:val="0"/>
              </w:rPr>
              <w:t>y</w:t>
            </w:r>
            <w:r w:rsidRPr="00054B84">
              <w:rPr>
                <w:rStyle w:val="Strong"/>
                <w:b w:val="0"/>
                <w:bCs w:val="0"/>
              </w:rPr>
              <w:t xml:space="preserve"> the merger parties may be taken into account in the ACCC’s </w:t>
            </w:r>
            <w:r w:rsidR="00EA1C82" w:rsidRPr="00054B84">
              <w:rPr>
                <w:rStyle w:val="Strong"/>
                <w:b w:val="0"/>
                <w:bCs w:val="0"/>
              </w:rPr>
              <w:t>assessment.</w:t>
            </w:r>
            <w:r w:rsidR="005C774F" w:rsidRPr="00054B84">
              <w:rPr>
                <w:rStyle w:val="Strong"/>
                <w:b w:val="0"/>
                <w:bCs w:val="0"/>
              </w:rPr>
              <w:t xml:space="preserve"> </w:t>
            </w:r>
          </w:p>
        </w:tc>
      </w:tr>
      <w:tr w:rsidR="00D86702" w14:paraId="3BC45F3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3D432DAD" w14:textId="07742089" w:rsidR="00D86702" w:rsidRPr="002D3D60" w:rsidRDefault="002E1A9A" w:rsidP="002D3D60">
            <w:pPr>
              <w:rPr>
                <w:rStyle w:val="Strong"/>
                <w:bCs w:val="0"/>
              </w:rPr>
            </w:pPr>
            <w:r w:rsidRPr="00B422D6">
              <w:rPr>
                <w:rStyle w:val="Strong"/>
                <w:bCs w:val="0"/>
              </w:rPr>
              <w:t xml:space="preserve">Substantial public </w:t>
            </w:r>
            <w:r w:rsidR="00D86702" w:rsidRPr="00B422D6">
              <w:rPr>
                <w:rStyle w:val="Strong"/>
                <w:bCs w:val="0"/>
              </w:rPr>
              <w:t>benefits</w:t>
            </w:r>
          </w:p>
        </w:tc>
        <w:tc>
          <w:tcPr>
            <w:tcW w:w="6437" w:type="dxa"/>
            <w:tcBorders>
              <w:top w:val="single" w:sz="4" w:space="0" w:color="auto"/>
              <w:left w:val="single" w:sz="4" w:space="0" w:color="auto"/>
              <w:bottom w:val="single" w:sz="4" w:space="0" w:color="auto"/>
              <w:right w:val="single" w:sz="4" w:space="0" w:color="auto"/>
            </w:tcBorders>
            <w:hideMark/>
          </w:tcPr>
          <w:p w14:paraId="553C1D83" w14:textId="3C5006F5" w:rsidR="00D86702" w:rsidRPr="00054B84" w:rsidRDefault="00D86702">
            <w:pPr>
              <w:rPr>
                <w:rStyle w:val="Strong"/>
                <w:b w:val="0"/>
                <w:bCs w:val="0"/>
              </w:rPr>
            </w:pPr>
            <w:r w:rsidRPr="00054B84">
              <w:rPr>
                <w:rStyle w:val="Strong"/>
                <w:b w:val="0"/>
                <w:bCs w:val="0"/>
              </w:rPr>
              <w:t xml:space="preserve">Ability to consider public benefits should be </w:t>
            </w:r>
            <w:r w:rsidR="00EA1C82" w:rsidRPr="00054B84">
              <w:rPr>
                <w:rStyle w:val="Strong"/>
                <w:b w:val="0"/>
                <w:bCs w:val="0"/>
              </w:rPr>
              <w:t>retained.</w:t>
            </w:r>
          </w:p>
        </w:tc>
        <w:tc>
          <w:tcPr>
            <w:tcW w:w="6442" w:type="dxa"/>
            <w:tcBorders>
              <w:top w:val="single" w:sz="4" w:space="0" w:color="auto"/>
              <w:left w:val="single" w:sz="4" w:space="0" w:color="auto"/>
              <w:bottom w:val="single" w:sz="4" w:space="0" w:color="auto"/>
              <w:right w:val="single" w:sz="4" w:space="0" w:color="auto"/>
            </w:tcBorders>
            <w:hideMark/>
          </w:tcPr>
          <w:p w14:paraId="0D3C880E" w14:textId="77777777" w:rsidR="00D86702" w:rsidRPr="00054B84" w:rsidRDefault="00D86702">
            <w:pPr>
              <w:rPr>
                <w:rStyle w:val="Strong"/>
                <w:b w:val="0"/>
                <w:bCs w:val="0"/>
              </w:rPr>
            </w:pPr>
            <w:r w:rsidRPr="00054B84">
              <w:rPr>
                <w:rStyle w:val="Strong"/>
                <w:b w:val="0"/>
                <w:bCs w:val="0"/>
              </w:rPr>
              <w:t xml:space="preserve">If ACCC disallows the merger, approval may be sought if the merger would result, or be likely to result, in a substantial public benefit which outweighs anti-competitive </w:t>
            </w:r>
            <w:r w:rsidR="00EA1C82" w:rsidRPr="00054B84">
              <w:rPr>
                <w:rStyle w:val="Strong"/>
                <w:b w:val="0"/>
                <w:bCs w:val="0"/>
              </w:rPr>
              <w:t>impact.</w:t>
            </w:r>
          </w:p>
          <w:p w14:paraId="7E45185B" w14:textId="1D8A6928" w:rsidR="00AF1D4B" w:rsidRPr="00054B84" w:rsidRDefault="00AF1D4B">
            <w:pPr>
              <w:rPr>
                <w:rStyle w:val="Strong"/>
                <w:b w:val="0"/>
                <w:bCs w:val="0"/>
              </w:rPr>
            </w:pPr>
            <w:r w:rsidRPr="00054B84">
              <w:rPr>
                <w:rStyle w:val="Strong"/>
                <w:b w:val="0"/>
                <w:bCs w:val="0"/>
              </w:rPr>
              <w:t>Allowing the ACCC to consider whether an otherwise anti-competitive merger raises substantial and meaningful net public benefits is important as our economy responds to significant structural shifts including the rise of the care economy, rapid transformation to net zero and the growth of the digital economy.</w:t>
            </w:r>
          </w:p>
        </w:tc>
      </w:tr>
      <w:tr w:rsidR="00D86702" w14:paraId="07EAC17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CF4290E" w14:textId="77777777" w:rsidR="00D86702" w:rsidRPr="002D3D60" w:rsidRDefault="00D86702" w:rsidP="002D3D60">
            <w:pPr>
              <w:rPr>
                <w:rStyle w:val="Strong"/>
                <w:bCs w:val="0"/>
              </w:rPr>
            </w:pPr>
            <w:r w:rsidRPr="00B422D6">
              <w:rPr>
                <w:rStyle w:val="Strong"/>
                <w:bCs w:val="0"/>
              </w:rPr>
              <w:t>Serial acquisitions</w:t>
            </w:r>
          </w:p>
        </w:tc>
        <w:tc>
          <w:tcPr>
            <w:tcW w:w="6437" w:type="dxa"/>
            <w:tcBorders>
              <w:top w:val="single" w:sz="4" w:space="0" w:color="auto"/>
              <w:left w:val="single" w:sz="4" w:space="0" w:color="auto"/>
              <w:bottom w:val="single" w:sz="4" w:space="0" w:color="auto"/>
              <w:right w:val="single" w:sz="4" w:space="0" w:color="auto"/>
            </w:tcBorders>
            <w:hideMark/>
          </w:tcPr>
          <w:p w14:paraId="1DD7E018" w14:textId="69118A9D" w:rsidR="00D86702" w:rsidRPr="00054B84" w:rsidRDefault="00D86702">
            <w:pPr>
              <w:rPr>
                <w:rStyle w:val="Strong"/>
                <w:b w:val="0"/>
                <w:bCs w:val="0"/>
              </w:rPr>
            </w:pPr>
            <w:r w:rsidRPr="00054B84">
              <w:rPr>
                <w:rStyle w:val="Strong"/>
                <w:b w:val="0"/>
                <w:bCs w:val="0"/>
              </w:rPr>
              <w:t xml:space="preserve">Concerns about whether a single acquisition, which does not result in material changes in market concentration or competitive dynamics but over time forms part of a strategy of consolidation, can be appropriately assessed under the current </w:t>
            </w:r>
            <w:r w:rsidR="00EA1C82" w:rsidRPr="00054B84">
              <w:rPr>
                <w:rStyle w:val="Strong"/>
                <w:b w:val="0"/>
                <w:bCs w:val="0"/>
              </w:rPr>
              <w:t>law.</w:t>
            </w:r>
          </w:p>
        </w:tc>
        <w:tc>
          <w:tcPr>
            <w:tcW w:w="6442" w:type="dxa"/>
            <w:tcBorders>
              <w:top w:val="single" w:sz="4" w:space="0" w:color="auto"/>
              <w:left w:val="single" w:sz="4" w:space="0" w:color="auto"/>
              <w:bottom w:val="single" w:sz="4" w:space="0" w:color="auto"/>
              <w:right w:val="single" w:sz="4" w:space="0" w:color="auto"/>
            </w:tcBorders>
            <w:hideMark/>
          </w:tcPr>
          <w:p w14:paraId="1FCE9889" w14:textId="24B243E7" w:rsidR="00D86702" w:rsidRPr="00054B84" w:rsidRDefault="00D86702">
            <w:pPr>
              <w:rPr>
                <w:rStyle w:val="Strong"/>
                <w:b w:val="0"/>
                <w:bCs w:val="0"/>
              </w:rPr>
            </w:pPr>
            <w:r w:rsidRPr="00054B84">
              <w:rPr>
                <w:rStyle w:val="Strong"/>
                <w:b w:val="0"/>
                <w:bCs w:val="0"/>
              </w:rPr>
              <w:t xml:space="preserve">All ‘mergers’ within the previous </w:t>
            </w:r>
            <w:r w:rsidR="00C120AB" w:rsidRPr="00054B84">
              <w:rPr>
                <w:rStyle w:val="Strong"/>
                <w:b w:val="0"/>
                <w:bCs w:val="0"/>
              </w:rPr>
              <w:t>three</w:t>
            </w:r>
            <w:r w:rsidRPr="00054B84">
              <w:rPr>
                <w:rStyle w:val="Strong"/>
                <w:b w:val="0"/>
                <w:bCs w:val="0"/>
              </w:rPr>
              <w:t xml:space="preserve"> years by th</w:t>
            </w:r>
            <w:r w:rsidRPr="002D3D60">
              <w:rPr>
                <w:rStyle w:val="Strong"/>
                <w:b w:val="0"/>
                <w:bCs w:val="0"/>
              </w:rPr>
              <w:t xml:space="preserve">e </w:t>
            </w:r>
            <w:r w:rsidR="002D3D60" w:rsidRPr="002D3D60">
              <w:rPr>
                <w:rStyle w:val="Strong"/>
                <w:b w:val="0"/>
                <w:bCs w:val="0"/>
              </w:rPr>
              <w:t>merger parties</w:t>
            </w:r>
            <w:r w:rsidRPr="00054B84">
              <w:rPr>
                <w:rStyle w:val="Strong"/>
                <w:b w:val="0"/>
                <w:bCs w:val="0"/>
              </w:rPr>
              <w:t xml:space="preserve"> may be considered as part of the review of the notifiable merger (</w:t>
            </w:r>
            <w:r w:rsidR="00460E96" w:rsidRPr="00054B84">
              <w:rPr>
                <w:rStyle w:val="Strong"/>
                <w:b w:val="0"/>
                <w:bCs w:val="0"/>
              </w:rPr>
              <w:t xml:space="preserve">and will be </w:t>
            </w:r>
            <w:r w:rsidR="005369A3" w:rsidRPr="00054B84">
              <w:rPr>
                <w:rStyle w:val="Strong"/>
                <w:b w:val="0"/>
                <w:bCs w:val="0"/>
              </w:rPr>
              <w:t>aggregated</w:t>
            </w:r>
            <w:r w:rsidR="00460E96" w:rsidRPr="00054B84">
              <w:rPr>
                <w:rStyle w:val="Strong"/>
                <w:b w:val="0"/>
                <w:bCs w:val="0"/>
              </w:rPr>
              <w:t xml:space="preserve"> </w:t>
            </w:r>
            <w:r w:rsidRPr="00054B84">
              <w:rPr>
                <w:rStyle w:val="Strong"/>
                <w:b w:val="0"/>
                <w:bCs w:val="0"/>
              </w:rPr>
              <w:t xml:space="preserve">for the purpose of </w:t>
            </w:r>
            <w:r w:rsidR="0026126E" w:rsidRPr="00054B84">
              <w:rPr>
                <w:rStyle w:val="Strong"/>
                <w:b w:val="0"/>
                <w:bCs w:val="0"/>
              </w:rPr>
              <w:t xml:space="preserve">assessing </w:t>
            </w:r>
            <w:r w:rsidRPr="00054B84">
              <w:rPr>
                <w:rStyle w:val="Strong"/>
                <w:b w:val="0"/>
                <w:bCs w:val="0"/>
              </w:rPr>
              <w:t>whether a merger meets the notification thresholds)</w:t>
            </w:r>
            <w:r w:rsidR="00AF1D4B" w:rsidRPr="00054B84">
              <w:rPr>
                <w:rStyle w:val="Strong"/>
                <w:b w:val="0"/>
                <w:bCs w:val="0"/>
              </w:rPr>
              <w:t>.</w:t>
            </w:r>
          </w:p>
          <w:p w14:paraId="4D85250A" w14:textId="456AFC01" w:rsidR="00E24043" w:rsidRPr="00054B84" w:rsidRDefault="00E24043">
            <w:pPr>
              <w:rPr>
                <w:rStyle w:val="Strong"/>
                <w:b w:val="0"/>
                <w:bCs w:val="0"/>
              </w:rPr>
            </w:pPr>
            <w:r w:rsidRPr="00054B84">
              <w:rPr>
                <w:rStyle w:val="Strong"/>
                <w:b w:val="0"/>
                <w:bCs w:val="0"/>
              </w:rPr>
              <w:t xml:space="preserve">This is a targeted measure to address concerns that some businesses are engaging in anti-competitive roll up strategies that increase prices and reduce quality and choice for consumers yet </w:t>
            </w:r>
            <w:r w:rsidRPr="00054B84">
              <w:rPr>
                <w:rStyle w:val="Strong"/>
                <w:rFonts w:eastAsia="Calibri Light"/>
                <w:b w:val="0"/>
                <w:bCs w:val="0"/>
              </w:rPr>
              <w:t>minimise unintended impacts on Australia’s vibrant start-up and small-and-medium enterprise sector.</w:t>
            </w:r>
          </w:p>
        </w:tc>
      </w:tr>
      <w:tr w:rsidR="00D86702" w14:paraId="20EE3800"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540D6526" w14:textId="77777777" w:rsidR="00D86702" w:rsidRPr="00B422D6" w:rsidRDefault="00D86702" w:rsidP="00B422D6">
            <w:pPr>
              <w:pStyle w:val="TableSecondHeading"/>
              <w:jc w:val="center"/>
              <w:rPr>
                <w:rStyle w:val="Strong"/>
                <w:b/>
                <w:bCs w:val="0"/>
              </w:rPr>
            </w:pPr>
            <w:r w:rsidRPr="00B422D6">
              <w:rPr>
                <w:rStyle w:val="Strong"/>
                <w:b/>
                <w:bCs w:val="0"/>
                <w:color w:val="auto"/>
              </w:rPr>
              <w:t>Review and penalties</w:t>
            </w:r>
          </w:p>
        </w:tc>
      </w:tr>
      <w:tr w:rsidR="00D86702" w14:paraId="2168EB66"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6DE71FA1" w14:textId="50BD200C" w:rsidR="00D86702" w:rsidRPr="002D3D60" w:rsidRDefault="00D86702" w:rsidP="002D3D60">
            <w:pPr>
              <w:rPr>
                <w:rStyle w:val="Strong"/>
                <w:bCs w:val="0"/>
              </w:rPr>
            </w:pPr>
            <w:r w:rsidRPr="00B422D6">
              <w:rPr>
                <w:rStyle w:val="Strong"/>
                <w:bCs w:val="0"/>
              </w:rPr>
              <w:t>Review of administrative decisions</w:t>
            </w:r>
            <w:r w:rsidR="00196EC5" w:rsidRPr="00B422D6">
              <w:rPr>
                <w:rStyle w:val="Strong"/>
                <w:bCs w:val="0"/>
              </w:rPr>
              <w:t xml:space="preserve"> and procedural safeguards</w:t>
            </w:r>
          </w:p>
        </w:tc>
        <w:tc>
          <w:tcPr>
            <w:tcW w:w="6437" w:type="dxa"/>
            <w:tcBorders>
              <w:top w:val="single" w:sz="4" w:space="0" w:color="auto"/>
              <w:left w:val="single" w:sz="4" w:space="0" w:color="auto"/>
              <w:bottom w:val="single" w:sz="4" w:space="0" w:color="auto"/>
              <w:right w:val="single" w:sz="4" w:space="0" w:color="auto"/>
            </w:tcBorders>
            <w:hideMark/>
          </w:tcPr>
          <w:p w14:paraId="0389256B" w14:textId="77777777" w:rsidR="0038591D" w:rsidRPr="00054B84" w:rsidRDefault="00D86702">
            <w:pPr>
              <w:rPr>
                <w:rStyle w:val="Strong"/>
                <w:b w:val="0"/>
                <w:bCs w:val="0"/>
              </w:rPr>
            </w:pPr>
            <w:r w:rsidRPr="00054B84">
              <w:rPr>
                <w:rStyle w:val="Strong"/>
                <w:b w:val="0"/>
                <w:bCs w:val="0"/>
              </w:rPr>
              <w:t>Reviews of decisions would benefit from greater economic and business expertise; it is important that review processes are accessible to stakeholders likely to be affected by a merger such as consumer groups</w:t>
            </w:r>
            <w:r w:rsidR="0038591D" w:rsidRPr="00054B84">
              <w:rPr>
                <w:rStyle w:val="Strong"/>
                <w:b w:val="0"/>
                <w:bCs w:val="0"/>
              </w:rPr>
              <w:t>.</w:t>
            </w:r>
          </w:p>
          <w:p w14:paraId="56B55634" w14:textId="5B58CA51" w:rsidR="00D86702" w:rsidRPr="00054B84" w:rsidRDefault="0038591D">
            <w:pPr>
              <w:rPr>
                <w:rStyle w:val="Strong"/>
                <w:b w:val="0"/>
                <w:bCs w:val="0"/>
              </w:rPr>
            </w:pPr>
            <w:r w:rsidRPr="00054B84">
              <w:rPr>
                <w:rStyle w:val="Strong"/>
                <w:b w:val="0"/>
                <w:bCs w:val="0"/>
              </w:rPr>
              <w:t xml:space="preserve">Reviews </w:t>
            </w:r>
            <w:r w:rsidR="002514AC" w:rsidRPr="00054B84">
              <w:rPr>
                <w:rStyle w:val="Strong"/>
                <w:b w:val="0"/>
                <w:bCs w:val="0"/>
              </w:rPr>
              <w:t xml:space="preserve">of merger decisions </w:t>
            </w:r>
            <w:r w:rsidR="00D86702" w:rsidRPr="00054B84">
              <w:rPr>
                <w:rStyle w:val="Strong"/>
                <w:b w:val="0"/>
                <w:bCs w:val="0"/>
              </w:rPr>
              <w:t>are time-</w:t>
            </w:r>
            <w:r w:rsidR="00EA1C82" w:rsidRPr="00054B84">
              <w:rPr>
                <w:rStyle w:val="Strong"/>
                <w:b w:val="0"/>
                <w:bCs w:val="0"/>
              </w:rPr>
              <w:t>sensitive.</w:t>
            </w:r>
          </w:p>
        </w:tc>
        <w:tc>
          <w:tcPr>
            <w:tcW w:w="6442" w:type="dxa"/>
            <w:tcBorders>
              <w:top w:val="single" w:sz="4" w:space="0" w:color="auto"/>
              <w:left w:val="single" w:sz="4" w:space="0" w:color="auto"/>
              <w:bottom w:val="single" w:sz="4" w:space="0" w:color="auto"/>
              <w:right w:val="single" w:sz="4" w:space="0" w:color="auto"/>
            </w:tcBorders>
            <w:hideMark/>
          </w:tcPr>
          <w:p w14:paraId="4C4C5A9E" w14:textId="77777777" w:rsidR="00D86702" w:rsidRPr="00054B84" w:rsidRDefault="00D86702">
            <w:pPr>
              <w:rPr>
                <w:rStyle w:val="Strong"/>
                <w:b w:val="0"/>
                <w:bCs w:val="0"/>
              </w:rPr>
            </w:pPr>
            <w:r w:rsidRPr="00054B84">
              <w:rPr>
                <w:rStyle w:val="Strong"/>
                <w:b w:val="0"/>
                <w:bCs w:val="0"/>
              </w:rPr>
              <w:t>ACCC decisions subject to limited merits review by the Australian Competition Tribunal with time limits</w:t>
            </w:r>
            <w:r w:rsidR="009A4463" w:rsidRPr="00054B84">
              <w:rPr>
                <w:rStyle w:val="Strong"/>
                <w:b w:val="0"/>
                <w:bCs w:val="0"/>
              </w:rPr>
              <w:t>.</w:t>
            </w:r>
          </w:p>
          <w:p w14:paraId="01597DAD" w14:textId="77777777" w:rsidR="00B65922" w:rsidRPr="00054B84" w:rsidRDefault="00B65922" w:rsidP="00B65922">
            <w:pPr>
              <w:rPr>
                <w:rStyle w:val="Strong"/>
                <w:b w:val="0"/>
                <w:bCs w:val="0"/>
              </w:rPr>
            </w:pPr>
            <w:r w:rsidRPr="00054B84" w:rsidDel="00731FDC">
              <w:rPr>
                <w:rStyle w:val="Strong"/>
                <w:b w:val="0"/>
                <w:bCs w:val="0"/>
              </w:rPr>
              <w:t xml:space="preserve">The Tribunal, with its independent economic, business and legal expertise, will </w:t>
            </w:r>
            <w:r w:rsidRPr="00054B84">
              <w:rPr>
                <w:rStyle w:val="Strong"/>
                <w:b w:val="0"/>
                <w:bCs w:val="0"/>
              </w:rPr>
              <w:t xml:space="preserve">improve the quality and consistency of ACCCC decisions and </w:t>
            </w:r>
            <w:r w:rsidRPr="00054B84" w:rsidDel="00731FDC">
              <w:rPr>
                <w:rStyle w:val="Strong"/>
                <w:b w:val="0"/>
                <w:bCs w:val="0"/>
              </w:rPr>
              <w:t>promote good decision</w:t>
            </w:r>
            <w:r w:rsidRPr="00054B84">
              <w:rPr>
                <w:rStyle w:val="Strong"/>
                <w:b w:val="0"/>
                <w:bCs w:val="0"/>
              </w:rPr>
              <w:t>-</w:t>
            </w:r>
            <w:r w:rsidRPr="00054B84" w:rsidDel="00731FDC">
              <w:rPr>
                <w:rStyle w:val="Strong"/>
                <w:b w:val="0"/>
                <w:bCs w:val="0"/>
              </w:rPr>
              <w:t xml:space="preserve">making by the ACCC based on sound economic and legal principles. </w:t>
            </w:r>
          </w:p>
          <w:p w14:paraId="6136FE75" w14:textId="77777777" w:rsidR="00B65922" w:rsidRPr="00054B84" w:rsidRDefault="00B65922" w:rsidP="00B65922">
            <w:pPr>
              <w:rPr>
                <w:rStyle w:val="Strong"/>
                <w:b w:val="0"/>
                <w:bCs w:val="0"/>
              </w:rPr>
            </w:pPr>
            <w:r w:rsidRPr="00054B84" w:rsidDel="00731FDC">
              <w:rPr>
                <w:rStyle w:val="Strong"/>
                <w:b w:val="0"/>
                <w:bCs w:val="0"/>
              </w:rPr>
              <w:lastRenderedPageBreak/>
              <w:t>The Tribunal is able to conduct proceedings expeditiously and with as little formality as required for proper consideration of the issues which will minimise cost and facilitate participation by affected stakeholders</w:t>
            </w:r>
            <w:r w:rsidRPr="00054B84">
              <w:rPr>
                <w:rStyle w:val="Strong"/>
                <w:b w:val="0"/>
                <w:bCs w:val="0"/>
              </w:rPr>
              <w:t>, including supporting consumer groups</w:t>
            </w:r>
            <w:r w:rsidRPr="00054B84" w:rsidDel="00731FDC">
              <w:rPr>
                <w:rStyle w:val="Strong"/>
                <w:b w:val="0"/>
                <w:bCs w:val="0"/>
              </w:rPr>
              <w:t>.</w:t>
            </w:r>
          </w:p>
          <w:p w14:paraId="05B8E655" w14:textId="50B72A20" w:rsidR="00A21475" w:rsidRPr="00054B84" w:rsidRDefault="00D1267F">
            <w:pPr>
              <w:rPr>
                <w:rStyle w:val="Strong"/>
                <w:b w:val="0"/>
                <w:bCs w:val="0"/>
              </w:rPr>
            </w:pPr>
            <w:r w:rsidRPr="00054B84">
              <w:rPr>
                <w:rStyle w:val="Strong"/>
                <w:b w:val="0"/>
                <w:bCs w:val="0"/>
              </w:rPr>
              <w:t xml:space="preserve">The fair, accountable and improved administration of the merger system benefits merger parties, interested stakeholders and the Australian community. </w:t>
            </w:r>
            <w:r w:rsidR="0005233F" w:rsidRPr="00054B84">
              <w:rPr>
                <w:rStyle w:val="Strong"/>
                <w:b w:val="0"/>
                <w:bCs w:val="0"/>
              </w:rPr>
              <w:t>In addition to the availability of complaints mechanisms, t</w:t>
            </w:r>
            <w:r w:rsidR="005F6D33" w:rsidRPr="00054B84">
              <w:rPr>
                <w:rStyle w:val="Strong"/>
                <w:b w:val="0"/>
                <w:bCs w:val="0"/>
              </w:rPr>
              <w:t>he ACCC is subject to the Regulator Performance Guide</w:t>
            </w:r>
            <w:r w:rsidR="0005233F" w:rsidRPr="00054B84">
              <w:rPr>
                <w:rStyle w:val="Strong"/>
                <w:b w:val="0"/>
                <w:bCs w:val="0"/>
              </w:rPr>
              <w:t xml:space="preserve">. </w:t>
            </w:r>
          </w:p>
        </w:tc>
      </w:tr>
      <w:tr w:rsidR="00D86702" w14:paraId="194DBBA3"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11B7B73" w14:textId="77777777" w:rsidR="00D86702" w:rsidRPr="002D3D60" w:rsidRDefault="00D86702" w:rsidP="002D3D60">
            <w:pPr>
              <w:rPr>
                <w:rStyle w:val="Strong"/>
                <w:bCs w:val="0"/>
              </w:rPr>
            </w:pPr>
            <w:r w:rsidRPr="00B422D6">
              <w:rPr>
                <w:rStyle w:val="Strong"/>
                <w:bCs w:val="0"/>
              </w:rPr>
              <w:lastRenderedPageBreak/>
              <w:t>Penalties</w:t>
            </w:r>
          </w:p>
        </w:tc>
        <w:tc>
          <w:tcPr>
            <w:tcW w:w="6437" w:type="dxa"/>
            <w:tcBorders>
              <w:top w:val="single" w:sz="4" w:space="0" w:color="auto"/>
              <w:left w:val="single" w:sz="4" w:space="0" w:color="auto"/>
              <w:bottom w:val="single" w:sz="4" w:space="0" w:color="auto"/>
              <w:right w:val="single" w:sz="4" w:space="0" w:color="auto"/>
            </w:tcBorders>
            <w:hideMark/>
          </w:tcPr>
          <w:p w14:paraId="265BCAFD" w14:textId="6A36C106" w:rsidR="00D86702" w:rsidRPr="00054B84" w:rsidRDefault="00D86702">
            <w:pPr>
              <w:rPr>
                <w:rStyle w:val="Strong"/>
                <w:b w:val="0"/>
                <w:bCs w:val="0"/>
              </w:rPr>
            </w:pPr>
            <w:r w:rsidRPr="00054B84">
              <w:rPr>
                <w:rStyle w:val="Strong"/>
                <w:b w:val="0"/>
                <w:bCs w:val="0"/>
              </w:rPr>
              <w:t xml:space="preserve">Significant penalties would deter strategic behaviour and encourage </w:t>
            </w:r>
            <w:r w:rsidR="00EA1C82" w:rsidRPr="00054B84">
              <w:rPr>
                <w:rStyle w:val="Strong"/>
                <w:b w:val="0"/>
                <w:bCs w:val="0"/>
              </w:rPr>
              <w:t>compliance.</w:t>
            </w:r>
          </w:p>
        </w:tc>
        <w:tc>
          <w:tcPr>
            <w:tcW w:w="6442" w:type="dxa"/>
            <w:tcBorders>
              <w:top w:val="single" w:sz="4" w:space="0" w:color="auto"/>
              <w:left w:val="single" w:sz="4" w:space="0" w:color="auto"/>
              <w:bottom w:val="single" w:sz="4" w:space="0" w:color="auto"/>
              <w:right w:val="single" w:sz="4" w:space="0" w:color="auto"/>
            </w:tcBorders>
            <w:hideMark/>
          </w:tcPr>
          <w:p w14:paraId="2A870814" w14:textId="3307D2FD" w:rsidR="00D86702" w:rsidRPr="00054B84" w:rsidRDefault="00D86702">
            <w:pPr>
              <w:rPr>
                <w:rStyle w:val="Strong"/>
                <w:b w:val="0"/>
                <w:bCs w:val="0"/>
              </w:rPr>
            </w:pPr>
            <w:r w:rsidRPr="00054B84">
              <w:rPr>
                <w:rStyle w:val="Strong"/>
                <w:b w:val="0"/>
                <w:bCs w:val="0"/>
              </w:rPr>
              <w:t>Substantial penalties (monetary and/or divestiture) for non-compliance for entities concerned/officers responsible for merger, on application by the ACCC in Federal Court</w:t>
            </w:r>
            <w:r w:rsidR="009A4463" w:rsidRPr="00054B84">
              <w:rPr>
                <w:rStyle w:val="Strong"/>
                <w:b w:val="0"/>
                <w:bCs w:val="0"/>
              </w:rPr>
              <w:t>.</w:t>
            </w:r>
          </w:p>
        </w:tc>
      </w:tr>
    </w:tbl>
    <w:p w14:paraId="08B61B2F" w14:textId="21666372" w:rsidR="00BA60D9" w:rsidRPr="000A331B" w:rsidDel="002F51D7" w:rsidRDefault="00C72174" w:rsidP="001C2080">
      <w:pPr>
        <w:spacing w:after="160" w:line="259" w:lineRule="auto"/>
        <w:rPr>
          <w:u w:val="single"/>
        </w:rPr>
      </w:pPr>
      <w:r>
        <w:rPr>
          <w:u w:val="single"/>
        </w:rPr>
        <w:br w:type="page"/>
      </w:r>
    </w:p>
    <w:tbl>
      <w:tblPr>
        <w:tblStyle w:val="TableGrid"/>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521"/>
        <w:gridCol w:w="6378"/>
      </w:tblGrid>
      <w:tr w:rsidR="009812AA" w14:paraId="0F0364D9" w14:textId="77777777" w:rsidTr="009812AA">
        <w:trPr>
          <w:cnfStyle w:val="100000000000" w:firstRow="1" w:lastRow="0" w:firstColumn="0" w:lastColumn="0" w:oddVBand="0" w:evenVBand="0" w:oddHBand="0" w:evenHBand="0" w:firstRowFirstColumn="0" w:firstRowLastColumn="0" w:lastRowFirstColumn="0" w:lastRowLastColumn="0"/>
          <w:tblHeade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BFBFBF" w:themeFill="text2" w:themeFillTint="66"/>
            <w:hideMark/>
          </w:tcPr>
          <w:p w14:paraId="19F2B480" w14:textId="7CD0976C" w:rsidR="009812AA" w:rsidRPr="00B422D6" w:rsidRDefault="009812AA" w:rsidP="00544892">
            <w:pPr>
              <w:spacing w:before="60" w:after="60"/>
              <w:jc w:val="center"/>
              <w:rPr>
                <w:bCs/>
                <w:color w:val="auto"/>
                <w:szCs w:val="22"/>
              </w:rPr>
            </w:pPr>
            <w:r w:rsidRPr="00B422D6">
              <w:rPr>
                <w:bCs/>
                <w:color w:val="auto"/>
                <w:szCs w:val="22"/>
              </w:rPr>
              <w:lastRenderedPageBreak/>
              <w:t>Elements of a merger control system not adopted</w:t>
            </w:r>
          </w:p>
        </w:tc>
      </w:tr>
      <w:tr w:rsidR="009812AA" w14:paraId="0A42A1D4" w14:textId="77777777" w:rsidTr="009812AA">
        <w:trPr>
          <w:cnfStyle w:val="100000000000" w:firstRow="1" w:lastRow="0" w:firstColumn="0" w:lastColumn="0" w:oddVBand="0" w:evenVBand="0" w:oddHBand="0" w:evenHBand="0" w:firstRowFirstColumn="0" w:firstRowLastColumn="0" w:lastRowFirstColumn="0" w:lastRowLastColumn="0"/>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1040A437" w14:textId="77777777" w:rsidR="009812AA" w:rsidRPr="00B422D6" w:rsidRDefault="009812AA" w:rsidP="00AF2633">
            <w:pPr>
              <w:pStyle w:val="TableSecondHeading"/>
              <w:rPr>
                <w:rStyle w:val="Strong"/>
                <w:rFonts w:eastAsiaTheme="minorHAnsi"/>
                <w:color w:val="auto"/>
              </w:rPr>
            </w:pPr>
            <w:r w:rsidRPr="00B422D6">
              <w:rPr>
                <w:rStyle w:val="Strong"/>
                <w:color w:val="auto"/>
              </w:rPr>
              <w:t>Element</w:t>
            </w:r>
          </w:p>
        </w:tc>
        <w:tc>
          <w:tcPr>
            <w:tcW w:w="6521" w:type="dxa"/>
            <w:tcBorders>
              <w:top w:val="single" w:sz="4" w:space="0" w:color="auto"/>
              <w:left w:val="single" w:sz="4" w:space="0" w:color="auto"/>
              <w:bottom w:val="single" w:sz="4" w:space="0" w:color="auto"/>
              <w:right w:val="single" w:sz="4" w:space="0" w:color="auto"/>
            </w:tcBorders>
            <w:hideMark/>
          </w:tcPr>
          <w:p w14:paraId="1AE87B1E" w14:textId="77777777" w:rsidR="009812AA" w:rsidRPr="00B422D6" w:rsidRDefault="009812AA" w:rsidP="00AF2633">
            <w:pPr>
              <w:pStyle w:val="TableSecondHeading"/>
              <w:rPr>
                <w:rStyle w:val="Strong"/>
                <w:color w:val="auto"/>
              </w:rPr>
            </w:pPr>
            <w:r w:rsidRPr="00B422D6">
              <w:rPr>
                <w:rStyle w:val="Strong"/>
                <w:color w:val="auto"/>
              </w:rPr>
              <w:t>Consultation feedback</w:t>
            </w:r>
          </w:p>
        </w:tc>
        <w:tc>
          <w:tcPr>
            <w:tcW w:w="6378" w:type="dxa"/>
            <w:tcBorders>
              <w:top w:val="single" w:sz="4" w:space="0" w:color="auto"/>
              <w:left w:val="single" w:sz="4" w:space="0" w:color="auto"/>
              <w:bottom w:val="single" w:sz="4" w:space="0" w:color="auto"/>
              <w:right w:val="single" w:sz="4" w:space="0" w:color="auto"/>
            </w:tcBorders>
            <w:hideMark/>
          </w:tcPr>
          <w:p w14:paraId="63C7FD05" w14:textId="1E0730AA" w:rsidR="009812AA" w:rsidRPr="00B422D6" w:rsidRDefault="001A79B2" w:rsidP="00AF2633">
            <w:pPr>
              <w:pStyle w:val="TableSecondHeading"/>
              <w:rPr>
                <w:rStyle w:val="Strong"/>
                <w:rFonts w:eastAsiaTheme="minorHAnsi"/>
                <w:color w:val="auto"/>
              </w:rPr>
            </w:pPr>
            <w:r w:rsidRPr="00B422D6">
              <w:rPr>
                <w:rStyle w:val="Strong"/>
                <w:color w:val="auto"/>
              </w:rPr>
              <w:t xml:space="preserve">Australian </w:t>
            </w:r>
            <w:r w:rsidR="009812AA" w:rsidRPr="00B422D6">
              <w:rPr>
                <w:rStyle w:val="Strong"/>
                <w:color w:val="auto"/>
              </w:rPr>
              <w:t>Government response</w:t>
            </w:r>
          </w:p>
        </w:tc>
      </w:tr>
      <w:tr w:rsidR="009812AA" w14:paraId="74473D4B"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394702E7" w14:textId="77777777" w:rsidR="009812AA" w:rsidRPr="00B422D6" w:rsidRDefault="009812AA" w:rsidP="00B422D6">
            <w:pPr>
              <w:pStyle w:val="TableSecondHeading"/>
              <w:jc w:val="center"/>
              <w:rPr>
                <w:rStyle w:val="Strong"/>
                <w:b/>
                <w:color w:val="auto"/>
              </w:rPr>
            </w:pPr>
            <w:r w:rsidRPr="00B422D6">
              <w:rPr>
                <w:rStyle w:val="Strong"/>
                <w:b/>
                <w:color w:val="auto"/>
              </w:rPr>
              <w:t>Notification</w:t>
            </w:r>
          </w:p>
        </w:tc>
      </w:tr>
      <w:tr w:rsidR="009812AA" w14:paraId="5B7906F5"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6C075D3B" w14:textId="77777777" w:rsidR="009812AA" w:rsidRPr="002D3D60" w:rsidRDefault="009812AA" w:rsidP="002D3D60">
            <w:pPr>
              <w:rPr>
                <w:rStyle w:val="Strong"/>
                <w:bCs w:val="0"/>
              </w:rPr>
            </w:pPr>
            <w:r w:rsidRPr="00B422D6">
              <w:rPr>
                <w:rStyle w:val="Strong"/>
                <w:bCs w:val="0"/>
              </w:rPr>
              <w:t>Informal system</w:t>
            </w:r>
          </w:p>
        </w:tc>
        <w:tc>
          <w:tcPr>
            <w:tcW w:w="6521" w:type="dxa"/>
            <w:tcBorders>
              <w:top w:val="single" w:sz="4" w:space="0" w:color="auto"/>
              <w:left w:val="single" w:sz="4" w:space="0" w:color="auto"/>
              <w:bottom w:val="single" w:sz="4" w:space="0" w:color="auto"/>
              <w:right w:val="single" w:sz="4" w:space="0" w:color="auto"/>
            </w:tcBorders>
            <w:hideMark/>
          </w:tcPr>
          <w:p w14:paraId="71908B5B" w14:textId="5298B60E" w:rsidR="009812AA" w:rsidRPr="00054B84" w:rsidRDefault="009812AA">
            <w:pPr>
              <w:rPr>
                <w:rStyle w:val="Strong"/>
                <w:b w:val="0"/>
                <w:bCs w:val="0"/>
              </w:rPr>
            </w:pPr>
            <w:r w:rsidRPr="00054B84">
              <w:rPr>
                <w:rStyle w:val="Strong"/>
                <w:b w:val="0"/>
                <w:bCs w:val="0"/>
              </w:rPr>
              <w:t xml:space="preserve">Current system provides flexibility </w:t>
            </w:r>
            <w:r w:rsidR="00E57C42" w:rsidRPr="00054B84">
              <w:rPr>
                <w:rStyle w:val="Strong"/>
                <w:b w:val="0"/>
                <w:bCs w:val="0"/>
              </w:rPr>
              <w:t xml:space="preserve">but </w:t>
            </w:r>
            <w:r w:rsidRPr="00054B84">
              <w:rPr>
                <w:rStyle w:val="Strong"/>
                <w:b w:val="0"/>
                <w:bCs w:val="0"/>
              </w:rPr>
              <w:t>creates significant uncertainty about timing and outcome, is costly for businesses due to time delay</w:t>
            </w:r>
            <w:r w:rsidR="00B65535" w:rsidRPr="00054B84">
              <w:rPr>
                <w:rStyle w:val="Strong"/>
                <w:b w:val="0"/>
                <w:bCs w:val="0"/>
              </w:rPr>
              <w:t>,</w:t>
            </w:r>
            <w:r w:rsidRPr="00054B84">
              <w:rPr>
                <w:rStyle w:val="Strong"/>
                <w:b w:val="0"/>
                <w:bCs w:val="0"/>
              </w:rPr>
              <w:t xml:space="preserve"> less transparent</w:t>
            </w:r>
            <w:r w:rsidR="00B65535" w:rsidRPr="00054B84">
              <w:rPr>
                <w:rStyle w:val="Strong"/>
                <w:b w:val="0"/>
                <w:bCs w:val="0"/>
              </w:rPr>
              <w:t xml:space="preserve"> and information requirements can be unclear</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513F03B0" w14:textId="4E360CD9" w:rsidR="009812AA" w:rsidRPr="00054B84" w:rsidRDefault="009812AA">
            <w:pPr>
              <w:rPr>
                <w:rStyle w:val="Strong"/>
                <w:b w:val="0"/>
                <w:bCs w:val="0"/>
              </w:rPr>
            </w:pPr>
            <w:r w:rsidRPr="00054B84">
              <w:rPr>
                <w:rStyle w:val="Strong"/>
                <w:b w:val="0"/>
                <w:bCs w:val="0"/>
              </w:rPr>
              <w:t>Clear timeframes and performance metrics to hold the ACCC accountable</w:t>
            </w:r>
            <w:r w:rsidR="009A4463" w:rsidRPr="00054B84">
              <w:rPr>
                <w:rStyle w:val="Strong"/>
                <w:b w:val="0"/>
                <w:bCs w:val="0"/>
              </w:rPr>
              <w:t>.</w:t>
            </w:r>
          </w:p>
          <w:p w14:paraId="797D6AD9" w14:textId="0A97D1FA" w:rsidR="009812AA" w:rsidRPr="00054B84" w:rsidRDefault="009812AA">
            <w:pPr>
              <w:rPr>
                <w:rStyle w:val="Strong"/>
                <w:b w:val="0"/>
                <w:bCs w:val="0"/>
              </w:rPr>
            </w:pPr>
            <w:r w:rsidRPr="00054B84">
              <w:rPr>
                <w:rStyle w:val="Strong"/>
                <w:b w:val="0"/>
                <w:bCs w:val="0"/>
              </w:rPr>
              <w:t>Information requirements to ensure the ACCC is provided with information to facilitate the efficient and effective review of mergers</w:t>
            </w:r>
            <w:r w:rsidR="009A4463" w:rsidRPr="00054B84">
              <w:rPr>
                <w:rStyle w:val="Strong"/>
                <w:b w:val="0"/>
                <w:bCs w:val="0"/>
              </w:rPr>
              <w:t>.</w:t>
            </w:r>
          </w:p>
        </w:tc>
      </w:tr>
      <w:tr w:rsidR="009812AA" w14:paraId="438B8BA2"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4D0CD638" w14:textId="77777777" w:rsidR="009812AA" w:rsidRPr="002D3D60" w:rsidRDefault="009812AA" w:rsidP="002D3D60">
            <w:pPr>
              <w:rPr>
                <w:rStyle w:val="Strong"/>
                <w:bCs w:val="0"/>
              </w:rPr>
            </w:pPr>
            <w:r w:rsidRPr="00B422D6">
              <w:rPr>
                <w:rStyle w:val="Strong"/>
                <w:bCs w:val="0"/>
              </w:rPr>
              <w:t>Voluntary notification</w:t>
            </w:r>
          </w:p>
        </w:tc>
        <w:tc>
          <w:tcPr>
            <w:tcW w:w="6521" w:type="dxa"/>
            <w:tcBorders>
              <w:top w:val="single" w:sz="4" w:space="0" w:color="auto"/>
              <w:left w:val="single" w:sz="4" w:space="0" w:color="auto"/>
              <w:bottom w:val="single" w:sz="4" w:space="0" w:color="auto"/>
              <w:right w:val="single" w:sz="4" w:space="0" w:color="auto"/>
            </w:tcBorders>
            <w:hideMark/>
          </w:tcPr>
          <w:p w14:paraId="00830DCC" w14:textId="2AD333CA" w:rsidR="009812AA" w:rsidRPr="00054B84" w:rsidRDefault="009812AA">
            <w:pPr>
              <w:rPr>
                <w:rStyle w:val="Strong"/>
                <w:b w:val="0"/>
                <w:bCs w:val="0"/>
              </w:rPr>
            </w:pPr>
            <w:r w:rsidRPr="00054B84">
              <w:rPr>
                <w:rStyle w:val="Strong"/>
                <w:b w:val="0"/>
                <w:bCs w:val="0"/>
              </w:rPr>
              <w:t xml:space="preserve">Allows self-assessment </w:t>
            </w:r>
            <w:r w:rsidR="00677B5D" w:rsidRPr="00054B84">
              <w:rPr>
                <w:rStyle w:val="Strong"/>
                <w:b w:val="0"/>
                <w:bCs w:val="0"/>
              </w:rPr>
              <w:t xml:space="preserve">but </w:t>
            </w:r>
            <w:r w:rsidRPr="00054B84">
              <w:rPr>
                <w:rStyle w:val="Strong"/>
                <w:b w:val="0"/>
                <w:bCs w:val="0"/>
              </w:rPr>
              <w:t>gives rise to more uncertainty than overseas systems that have clear mandatory notification requirements</w:t>
            </w:r>
            <w:r w:rsidR="00677B5D" w:rsidRPr="00054B84">
              <w:rPr>
                <w:rStyle w:val="Strong"/>
                <w:b w:val="0"/>
                <w:bCs w:val="0"/>
              </w:rPr>
              <w:t>;</w:t>
            </w:r>
            <w:r w:rsidRPr="00054B84">
              <w:rPr>
                <w:rStyle w:val="Strong"/>
                <w:b w:val="0"/>
                <w:bCs w:val="0"/>
              </w:rPr>
              <w:t xml:space="preserve"> risk</w:t>
            </w:r>
            <w:r w:rsidR="00677B5D" w:rsidRPr="00054B84">
              <w:rPr>
                <w:rStyle w:val="Strong"/>
                <w:b w:val="0"/>
                <w:bCs w:val="0"/>
              </w:rPr>
              <w:t xml:space="preserve"> is</w:t>
            </w:r>
            <w:r w:rsidRPr="00054B84">
              <w:rPr>
                <w:rStyle w:val="Strong"/>
                <w:b w:val="0"/>
                <w:bCs w:val="0"/>
              </w:rPr>
              <w:t xml:space="preserve"> that the ACCC is not notified of potentially anti-competitive mergers</w:t>
            </w:r>
          </w:p>
        </w:tc>
        <w:tc>
          <w:tcPr>
            <w:tcW w:w="6378" w:type="dxa"/>
            <w:tcBorders>
              <w:top w:val="single" w:sz="4" w:space="0" w:color="auto"/>
              <w:left w:val="single" w:sz="4" w:space="0" w:color="auto"/>
              <w:bottom w:val="single" w:sz="4" w:space="0" w:color="auto"/>
              <w:right w:val="single" w:sz="4" w:space="0" w:color="auto"/>
            </w:tcBorders>
            <w:hideMark/>
          </w:tcPr>
          <w:p w14:paraId="3EB4EA5B" w14:textId="7D5F21EF" w:rsidR="009812AA" w:rsidRPr="00054B84" w:rsidRDefault="009812AA">
            <w:pPr>
              <w:rPr>
                <w:rStyle w:val="Strong"/>
                <w:b w:val="0"/>
                <w:bCs w:val="0"/>
              </w:rPr>
            </w:pPr>
            <w:r w:rsidRPr="00054B84">
              <w:rPr>
                <w:rStyle w:val="Strong"/>
                <w:b w:val="0"/>
                <w:bCs w:val="0"/>
              </w:rPr>
              <w:t>Unclear that it would address concerns about non-notification of mergers</w:t>
            </w:r>
            <w:r w:rsidR="009A4463" w:rsidRPr="00054B84">
              <w:rPr>
                <w:rStyle w:val="Strong"/>
                <w:b w:val="0"/>
                <w:bCs w:val="0"/>
              </w:rPr>
              <w:t>.</w:t>
            </w:r>
          </w:p>
          <w:p w14:paraId="3D8F7515" w14:textId="0273B006" w:rsidR="00907C2D" w:rsidRPr="00054B84" w:rsidRDefault="00907C2D" w:rsidP="00B8235A">
            <w:pPr>
              <w:rPr>
                <w:rStyle w:val="Strong"/>
                <w:b w:val="0"/>
                <w:bCs w:val="0"/>
              </w:rPr>
            </w:pPr>
            <w:r w:rsidRPr="00054B84">
              <w:rPr>
                <w:rStyle w:val="Strong"/>
                <w:b w:val="0"/>
                <w:bCs w:val="0"/>
              </w:rPr>
              <w:t>M</w:t>
            </w:r>
            <w:r w:rsidR="009812AA" w:rsidRPr="00054B84">
              <w:rPr>
                <w:rStyle w:val="Strong"/>
                <w:b w:val="0"/>
                <w:bCs w:val="0"/>
              </w:rPr>
              <w:t>erger parties would have minimal incentives to cooperate in a judicial enforcement system</w:t>
            </w:r>
            <w:r w:rsidR="009A4463" w:rsidRPr="00054B84">
              <w:rPr>
                <w:rStyle w:val="Strong"/>
                <w:b w:val="0"/>
                <w:bCs w:val="0"/>
              </w:rPr>
              <w:t>.</w:t>
            </w:r>
          </w:p>
        </w:tc>
      </w:tr>
      <w:tr w:rsidR="00212CE3" w14:paraId="0DEDB07F"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tcPr>
          <w:p w14:paraId="1808632E" w14:textId="7AD72376" w:rsidR="00212CE3" w:rsidRPr="002D3D60" w:rsidRDefault="00212CE3" w:rsidP="002D3D60">
            <w:pPr>
              <w:rPr>
                <w:rStyle w:val="Strong"/>
                <w:bCs w:val="0"/>
              </w:rPr>
            </w:pPr>
            <w:r w:rsidRPr="00B422D6">
              <w:rPr>
                <w:rStyle w:val="Strong"/>
                <w:bCs w:val="0"/>
              </w:rPr>
              <w:t>Call-in power</w:t>
            </w:r>
          </w:p>
        </w:tc>
        <w:tc>
          <w:tcPr>
            <w:tcW w:w="6521" w:type="dxa"/>
            <w:tcBorders>
              <w:top w:val="single" w:sz="4" w:space="0" w:color="auto"/>
              <w:left w:val="single" w:sz="4" w:space="0" w:color="auto"/>
              <w:bottom w:val="single" w:sz="4" w:space="0" w:color="auto"/>
              <w:right w:val="single" w:sz="4" w:space="0" w:color="auto"/>
            </w:tcBorders>
          </w:tcPr>
          <w:p w14:paraId="14D19F00" w14:textId="403F2C71" w:rsidR="00212CE3" w:rsidRPr="00054B84" w:rsidRDefault="00FC512D">
            <w:pPr>
              <w:rPr>
                <w:rStyle w:val="Strong"/>
                <w:b w:val="0"/>
                <w:bCs w:val="0"/>
              </w:rPr>
            </w:pPr>
            <w:r w:rsidRPr="00054B84">
              <w:rPr>
                <w:rStyle w:val="Strong"/>
                <w:b w:val="0"/>
                <w:bCs w:val="0"/>
              </w:rPr>
              <w:t>A call-in power would create uncertainty</w:t>
            </w:r>
            <w:r w:rsidR="005461C9" w:rsidRPr="00054B84">
              <w:rPr>
                <w:rStyle w:val="Strong"/>
                <w:b w:val="0"/>
                <w:bCs w:val="0"/>
              </w:rPr>
              <w:t xml:space="preserve"> for businesses</w:t>
            </w:r>
            <w:r w:rsidR="008559B4" w:rsidRPr="00054B84">
              <w:rPr>
                <w:rStyle w:val="Strong"/>
                <w:b w:val="0"/>
                <w:bCs w:val="0"/>
              </w:rPr>
              <w:t>;</w:t>
            </w:r>
            <w:r w:rsidR="00A65C6F" w:rsidRPr="00054B84">
              <w:rPr>
                <w:rStyle w:val="Strong"/>
                <w:b w:val="0"/>
                <w:bCs w:val="0"/>
              </w:rPr>
              <w:t xml:space="preserve"> the current system allows</w:t>
            </w:r>
            <w:r w:rsidR="00052837" w:rsidRPr="00054B84">
              <w:rPr>
                <w:rStyle w:val="Strong"/>
                <w:b w:val="0"/>
                <w:bCs w:val="0"/>
              </w:rPr>
              <w:t xml:space="preserve"> the ACCC </w:t>
            </w:r>
            <w:r w:rsidR="00A65C6F" w:rsidRPr="00054B84">
              <w:rPr>
                <w:rStyle w:val="Strong"/>
                <w:b w:val="0"/>
                <w:bCs w:val="0"/>
              </w:rPr>
              <w:t>to</w:t>
            </w:r>
            <w:r w:rsidR="00052837" w:rsidRPr="00054B84">
              <w:rPr>
                <w:rStyle w:val="Strong"/>
                <w:b w:val="0"/>
                <w:bCs w:val="0"/>
              </w:rPr>
              <w:t xml:space="preserve"> </w:t>
            </w:r>
            <w:r w:rsidR="00090BB3" w:rsidRPr="00054B84">
              <w:rPr>
                <w:rStyle w:val="Strong"/>
                <w:b w:val="0"/>
                <w:bCs w:val="0"/>
              </w:rPr>
              <w:t>investigate</w:t>
            </w:r>
            <w:r w:rsidR="00052837" w:rsidRPr="00054B84">
              <w:rPr>
                <w:rStyle w:val="Strong"/>
                <w:b w:val="0"/>
                <w:bCs w:val="0"/>
              </w:rPr>
              <w:t xml:space="preserve"> any merger in Australia</w:t>
            </w:r>
            <w:r w:rsidR="00465D85" w:rsidRPr="00054B84">
              <w:rPr>
                <w:rStyle w:val="Strong"/>
                <w:b w:val="0"/>
                <w:bCs w:val="0"/>
              </w:rPr>
              <w:t xml:space="preserve">; </w:t>
            </w:r>
            <w:r w:rsidR="00122FB1" w:rsidRPr="00054B84">
              <w:rPr>
                <w:rStyle w:val="Strong"/>
                <w:b w:val="0"/>
                <w:bCs w:val="0"/>
              </w:rPr>
              <w:t xml:space="preserve">smaller transactions or </w:t>
            </w:r>
            <w:r w:rsidR="00465D85" w:rsidRPr="00054B84">
              <w:rPr>
                <w:rStyle w:val="Strong"/>
                <w:b w:val="0"/>
                <w:bCs w:val="0"/>
              </w:rPr>
              <w:t xml:space="preserve">mergers in </w:t>
            </w:r>
            <w:r w:rsidR="00FE2CA3" w:rsidRPr="00054B84">
              <w:rPr>
                <w:rStyle w:val="Strong"/>
                <w:b w:val="0"/>
                <w:bCs w:val="0"/>
              </w:rPr>
              <w:t>local markets may still raise competition concerns</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tcPr>
          <w:p w14:paraId="48CD7AD2" w14:textId="75DCC2CB" w:rsidR="00212CE3" w:rsidRPr="00054B84" w:rsidRDefault="007F6268">
            <w:pPr>
              <w:rPr>
                <w:rStyle w:val="Strong"/>
                <w:b w:val="0"/>
                <w:bCs w:val="0"/>
              </w:rPr>
            </w:pPr>
            <w:r w:rsidRPr="00054B84">
              <w:rPr>
                <w:rStyle w:val="Strong"/>
                <w:b w:val="0"/>
                <w:bCs w:val="0"/>
              </w:rPr>
              <w:t xml:space="preserve">Targeted </w:t>
            </w:r>
            <w:r w:rsidR="0034728F" w:rsidRPr="00054B84">
              <w:rPr>
                <w:rStyle w:val="Strong"/>
                <w:b w:val="0"/>
                <w:bCs w:val="0"/>
              </w:rPr>
              <w:t xml:space="preserve">notification thresholds </w:t>
            </w:r>
            <w:r w:rsidR="00BF438A" w:rsidRPr="00054B84">
              <w:rPr>
                <w:rStyle w:val="Strong"/>
                <w:b w:val="0"/>
                <w:bCs w:val="0"/>
              </w:rPr>
              <w:t>to provide clarity for businesses and target mergers most likely to raise risks to competition</w:t>
            </w:r>
            <w:r w:rsidR="009A4463" w:rsidRPr="00054B84">
              <w:rPr>
                <w:rStyle w:val="Strong"/>
                <w:b w:val="0"/>
                <w:bCs w:val="0"/>
              </w:rPr>
              <w:t>.</w:t>
            </w:r>
          </w:p>
        </w:tc>
      </w:tr>
      <w:tr w:rsidR="009812AA" w14:paraId="44EEF528"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5B7899FF" w14:textId="77777777" w:rsidR="009812AA" w:rsidRPr="00B422D6" w:rsidRDefault="009812AA" w:rsidP="002D3D60">
            <w:pPr>
              <w:rPr>
                <w:rStyle w:val="Strong"/>
                <w:b w:val="0"/>
                <w:bCs w:val="0"/>
              </w:rPr>
            </w:pPr>
            <w:r w:rsidRPr="00B422D6">
              <w:rPr>
                <w:rStyle w:val="Strong"/>
                <w:bCs w:val="0"/>
              </w:rPr>
              <w:t>Section 50 and declarations in the Federal Court</w:t>
            </w:r>
          </w:p>
        </w:tc>
        <w:tc>
          <w:tcPr>
            <w:tcW w:w="6521" w:type="dxa"/>
            <w:tcBorders>
              <w:top w:val="single" w:sz="4" w:space="0" w:color="auto"/>
              <w:left w:val="single" w:sz="4" w:space="0" w:color="auto"/>
              <w:bottom w:val="single" w:sz="4" w:space="0" w:color="auto"/>
              <w:right w:val="single" w:sz="4" w:space="0" w:color="auto"/>
            </w:tcBorders>
            <w:hideMark/>
          </w:tcPr>
          <w:p w14:paraId="3CB8A4CD" w14:textId="583D3C4D" w:rsidR="009812AA" w:rsidRPr="00054B84" w:rsidRDefault="009812AA">
            <w:pPr>
              <w:rPr>
                <w:rStyle w:val="Strong"/>
                <w:b w:val="0"/>
                <w:bCs w:val="0"/>
              </w:rPr>
            </w:pPr>
            <w:r w:rsidRPr="00054B84">
              <w:rPr>
                <w:rStyle w:val="Strong"/>
                <w:b w:val="0"/>
                <w:bCs w:val="0"/>
              </w:rPr>
              <w:t>Multiple pathways facilitate strategic behaviour</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12972C29" w14:textId="79EB5F0E" w:rsidR="009812AA" w:rsidRPr="00054B84" w:rsidRDefault="009812AA">
            <w:pPr>
              <w:rPr>
                <w:rStyle w:val="Strong"/>
                <w:b w:val="0"/>
                <w:bCs w:val="0"/>
              </w:rPr>
            </w:pPr>
            <w:r w:rsidRPr="00054B84">
              <w:rPr>
                <w:rStyle w:val="Strong"/>
                <w:b w:val="0"/>
                <w:bCs w:val="0"/>
              </w:rPr>
              <w:t xml:space="preserve">Streamline into a single </w:t>
            </w:r>
            <w:r w:rsidR="00776581" w:rsidRPr="00054B84">
              <w:rPr>
                <w:rStyle w:val="Strong"/>
                <w:b w:val="0"/>
                <w:bCs w:val="0"/>
              </w:rPr>
              <w:t xml:space="preserve">simpler </w:t>
            </w:r>
            <w:r w:rsidRPr="00054B84">
              <w:rPr>
                <w:rStyle w:val="Strong"/>
                <w:b w:val="0"/>
                <w:bCs w:val="0"/>
              </w:rPr>
              <w:t>mandatory and suspensory administrative system</w:t>
            </w:r>
            <w:r w:rsidR="009A4463" w:rsidRPr="00054B84">
              <w:rPr>
                <w:rStyle w:val="Strong"/>
                <w:b w:val="0"/>
                <w:bCs w:val="0"/>
              </w:rPr>
              <w:t>.</w:t>
            </w:r>
          </w:p>
          <w:p w14:paraId="4C85D2A5" w14:textId="3129D517" w:rsidR="009812AA" w:rsidRPr="00054B84" w:rsidRDefault="009812AA">
            <w:pPr>
              <w:rPr>
                <w:rStyle w:val="Strong"/>
                <w:b w:val="0"/>
                <w:bCs w:val="0"/>
              </w:rPr>
            </w:pPr>
            <w:r w:rsidRPr="00054B84">
              <w:rPr>
                <w:rStyle w:val="Strong"/>
                <w:b w:val="0"/>
                <w:bCs w:val="0"/>
              </w:rPr>
              <w:t xml:space="preserve">Retain the substantial lessening of competition test, incorporated into a </w:t>
            </w:r>
            <w:r w:rsidR="004723AB" w:rsidRPr="00054B84">
              <w:rPr>
                <w:rStyle w:val="Strong"/>
                <w:b w:val="0"/>
                <w:bCs w:val="0"/>
              </w:rPr>
              <w:t xml:space="preserve">stronger </w:t>
            </w:r>
            <w:r w:rsidRPr="00054B84">
              <w:rPr>
                <w:rStyle w:val="Strong"/>
                <w:b w:val="0"/>
                <w:bCs w:val="0"/>
              </w:rPr>
              <w:t>administrative system</w:t>
            </w:r>
            <w:r w:rsidR="009A4463" w:rsidRPr="00054B84">
              <w:rPr>
                <w:rStyle w:val="Strong"/>
                <w:b w:val="0"/>
                <w:bCs w:val="0"/>
              </w:rPr>
              <w:t>.</w:t>
            </w:r>
          </w:p>
        </w:tc>
      </w:tr>
      <w:tr w:rsidR="009812AA" w14:paraId="152664CB"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1E3FEAFB" w14:textId="77777777" w:rsidR="009812AA" w:rsidRPr="00B422D6" w:rsidRDefault="009812AA" w:rsidP="00B422D6">
            <w:pPr>
              <w:pStyle w:val="TableSecondHeading"/>
              <w:jc w:val="center"/>
              <w:rPr>
                <w:rStyle w:val="Strong"/>
                <w:b/>
                <w:bCs w:val="0"/>
              </w:rPr>
            </w:pPr>
            <w:r w:rsidRPr="00B422D6">
              <w:rPr>
                <w:rStyle w:val="Strong"/>
                <w:b/>
                <w:bCs w:val="0"/>
                <w:color w:val="auto"/>
              </w:rPr>
              <w:t>Assessment</w:t>
            </w:r>
          </w:p>
        </w:tc>
      </w:tr>
      <w:tr w:rsidR="009812AA" w14:paraId="4DD5BB3B"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7CF58FC4" w14:textId="77777777" w:rsidR="009812AA" w:rsidRPr="00B422D6" w:rsidRDefault="009812AA" w:rsidP="002D3D60">
            <w:pPr>
              <w:rPr>
                <w:rStyle w:val="Strong"/>
                <w:b w:val="0"/>
                <w:bCs w:val="0"/>
              </w:rPr>
            </w:pPr>
            <w:r w:rsidRPr="00B422D6">
              <w:rPr>
                <w:rStyle w:val="Strong"/>
                <w:bCs w:val="0"/>
              </w:rPr>
              <w:t>Decision-maker must not grant approval unless satisfied the merger is not likely to substantially lessen competition</w:t>
            </w:r>
          </w:p>
        </w:tc>
        <w:tc>
          <w:tcPr>
            <w:tcW w:w="6521" w:type="dxa"/>
            <w:tcBorders>
              <w:top w:val="single" w:sz="4" w:space="0" w:color="auto"/>
              <w:left w:val="single" w:sz="4" w:space="0" w:color="auto"/>
              <w:bottom w:val="single" w:sz="4" w:space="0" w:color="auto"/>
              <w:right w:val="single" w:sz="4" w:space="0" w:color="auto"/>
            </w:tcBorders>
            <w:hideMark/>
          </w:tcPr>
          <w:p w14:paraId="7399521A" w14:textId="6A8054AC" w:rsidR="009812AA" w:rsidRPr="00054B84" w:rsidRDefault="009812AA">
            <w:pPr>
              <w:rPr>
                <w:rStyle w:val="Strong"/>
                <w:b w:val="0"/>
                <w:bCs w:val="0"/>
              </w:rPr>
            </w:pPr>
            <w:r w:rsidRPr="00054B84">
              <w:rPr>
                <w:rStyle w:val="Strong"/>
                <w:b w:val="0"/>
                <w:bCs w:val="0"/>
              </w:rPr>
              <w:t>Merger parties would have the incentive to promptly provide relevant information to the ACCC</w:t>
            </w:r>
            <w:r w:rsidR="00E36277">
              <w:rPr>
                <w:rStyle w:val="Strong"/>
                <w:b w:val="0"/>
                <w:bCs w:val="0"/>
              </w:rPr>
              <w:t>.</w:t>
            </w:r>
          </w:p>
          <w:p w14:paraId="5BEFB20B" w14:textId="2C0C2F53" w:rsidR="009812AA" w:rsidRPr="00054B84" w:rsidRDefault="009812AA">
            <w:pPr>
              <w:rPr>
                <w:rStyle w:val="Strong"/>
                <w:b w:val="0"/>
                <w:bCs w:val="0"/>
              </w:rPr>
            </w:pPr>
            <w:r w:rsidRPr="00054B84">
              <w:rPr>
                <w:rStyle w:val="Strong"/>
                <w:b w:val="0"/>
                <w:bCs w:val="0"/>
              </w:rPr>
              <w:t xml:space="preserve">However, this test would substantially increase the burden of proof on merger parties, even </w:t>
            </w:r>
            <w:r w:rsidR="00941FBD" w:rsidRPr="00054B84">
              <w:rPr>
                <w:rStyle w:val="Strong"/>
                <w:b w:val="0"/>
                <w:bCs w:val="0"/>
              </w:rPr>
              <w:t xml:space="preserve">mergers that are </w:t>
            </w:r>
            <w:r w:rsidRPr="00054B84">
              <w:rPr>
                <w:rStyle w:val="Strong"/>
                <w:b w:val="0"/>
                <w:bCs w:val="0"/>
              </w:rPr>
              <w:t xml:space="preserve">unlikely to pose risks </w:t>
            </w:r>
            <w:r w:rsidR="00EA76AE" w:rsidRPr="00054B84">
              <w:rPr>
                <w:rStyle w:val="Strong"/>
                <w:b w:val="0"/>
                <w:bCs w:val="0"/>
              </w:rPr>
              <w:t xml:space="preserve">to </w:t>
            </w:r>
            <w:r w:rsidRPr="00054B84">
              <w:rPr>
                <w:rStyle w:val="Strong"/>
                <w:b w:val="0"/>
                <w:bCs w:val="0"/>
              </w:rPr>
              <w:t>the community, imposing additional risks and costs on all mergers</w:t>
            </w:r>
            <w:r w:rsidR="00E36277">
              <w:rPr>
                <w:rStyle w:val="Strong"/>
                <w:b w:val="0"/>
                <w:bCs w:val="0"/>
              </w:rPr>
              <w:t>.</w:t>
            </w:r>
          </w:p>
          <w:p w14:paraId="158E40EA" w14:textId="40D0F9CE" w:rsidR="009812AA" w:rsidRPr="00054B84" w:rsidRDefault="009812AA">
            <w:pPr>
              <w:rPr>
                <w:rStyle w:val="Strong"/>
                <w:b w:val="0"/>
                <w:bCs w:val="0"/>
              </w:rPr>
            </w:pPr>
            <w:r w:rsidRPr="00054B84">
              <w:rPr>
                <w:rStyle w:val="Strong"/>
                <w:b w:val="0"/>
                <w:bCs w:val="0"/>
              </w:rPr>
              <w:t xml:space="preserve">Disproving the existence of </w:t>
            </w:r>
            <w:r w:rsidR="00813F9A" w:rsidRPr="00054B84">
              <w:rPr>
                <w:rStyle w:val="Strong"/>
                <w:b w:val="0"/>
                <w:bCs w:val="0"/>
              </w:rPr>
              <w:t>a</w:t>
            </w:r>
            <w:r w:rsidRPr="00054B84">
              <w:rPr>
                <w:rStyle w:val="Strong"/>
                <w:b w:val="0"/>
                <w:bCs w:val="0"/>
              </w:rPr>
              <w:t xml:space="preserve"> substantial lessening of competition may be difficult and impractical for businesses</w:t>
            </w:r>
            <w:r w:rsidR="00114793" w:rsidRPr="00054B84">
              <w:rPr>
                <w:rStyle w:val="Strong"/>
                <w:b w:val="0"/>
                <w:bCs w:val="0"/>
              </w:rPr>
              <w:t xml:space="preserve"> to satisfy</w:t>
            </w:r>
            <w:r w:rsidRPr="00054B84">
              <w:rPr>
                <w:rStyle w:val="Strong"/>
                <w:b w:val="0"/>
                <w:bCs w:val="0"/>
              </w:rPr>
              <w:t>, particularly those in emerging markets</w:t>
            </w:r>
            <w:r w:rsidR="00E36277">
              <w:rPr>
                <w:rStyle w:val="Strong"/>
                <w:b w:val="0"/>
                <w:bCs w:val="0"/>
              </w:rPr>
              <w:t>.</w:t>
            </w:r>
            <w:r w:rsidRPr="00054B84">
              <w:rPr>
                <w:rStyle w:val="Strong"/>
                <w:b w:val="0"/>
                <w:bCs w:val="0"/>
              </w:rPr>
              <w:t xml:space="preserve"> </w:t>
            </w:r>
          </w:p>
        </w:tc>
        <w:tc>
          <w:tcPr>
            <w:tcW w:w="6378" w:type="dxa"/>
            <w:tcBorders>
              <w:top w:val="single" w:sz="4" w:space="0" w:color="auto"/>
              <w:left w:val="single" w:sz="4" w:space="0" w:color="auto"/>
              <w:bottom w:val="single" w:sz="4" w:space="0" w:color="auto"/>
              <w:right w:val="single" w:sz="4" w:space="0" w:color="auto"/>
            </w:tcBorders>
            <w:hideMark/>
          </w:tcPr>
          <w:p w14:paraId="0D5D2096" w14:textId="207B1CE6" w:rsidR="009812AA" w:rsidRPr="00054B84" w:rsidRDefault="009812AA">
            <w:pPr>
              <w:rPr>
                <w:rStyle w:val="Strong"/>
                <w:rFonts w:eastAsiaTheme="minorHAnsi"/>
                <w:b w:val="0"/>
                <w:bCs w:val="0"/>
              </w:rPr>
            </w:pPr>
            <w:r w:rsidRPr="00054B84">
              <w:rPr>
                <w:rStyle w:val="Strong"/>
                <w:b w:val="0"/>
                <w:bCs w:val="0"/>
              </w:rPr>
              <w:t xml:space="preserve">The ACCC will </w:t>
            </w:r>
            <w:r w:rsidR="00201E51" w:rsidRPr="00054B84">
              <w:rPr>
                <w:rStyle w:val="Strong"/>
                <w:b w:val="0"/>
                <w:bCs w:val="0"/>
              </w:rPr>
              <w:t xml:space="preserve">need </w:t>
            </w:r>
            <w:r w:rsidRPr="00054B84">
              <w:rPr>
                <w:rStyle w:val="Strong"/>
                <w:b w:val="0"/>
                <w:bCs w:val="0"/>
              </w:rPr>
              <w:t xml:space="preserve">to </w:t>
            </w:r>
            <w:r w:rsidR="007346B0" w:rsidRPr="00054B84">
              <w:rPr>
                <w:rStyle w:val="Strong"/>
                <w:b w:val="0"/>
                <w:bCs w:val="0"/>
              </w:rPr>
              <w:t>re</w:t>
            </w:r>
            <w:r w:rsidR="00B45751" w:rsidRPr="00054B84">
              <w:rPr>
                <w:rStyle w:val="Strong"/>
                <w:b w:val="0"/>
                <w:bCs w:val="0"/>
              </w:rPr>
              <w:t>asonably believe</w:t>
            </w:r>
            <w:r w:rsidRPr="00054B84">
              <w:rPr>
                <w:rStyle w:val="Strong"/>
                <w:b w:val="0"/>
                <w:bCs w:val="0"/>
              </w:rPr>
              <w:t xml:space="preserve"> certain facts exist before </w:t>
            </w:r>
            <w:r w:rsidR="005D0091" w:rsidRPr="00054B84">
              <w:rPr>
                <w:rStyle w:val="Strong"/>
                <w:b w:val="0"/>
                <w:bCs w:val="0"/>
              </w:rPr>
              <w:t>disallowing</w:t>
            </w:r>
            <w:r w:rsidRPr="00054B84">
              <w:rPr>
                <w:rStyle w:val="Strong"/>
                <w:b w:val="0"/>
                <w:bCs w:val="0"/>
              </w:rPr>
              <w:t xml:space="preserve"> the merger</w:t>
            </w:r>
            <w:r w:rsidR="009A4463" w:rsidRPr="00054B84">
              <w:rPr>
                <w:rStyle w:val="Strong"/>
                <w:b w:val="0"/>
                <w:bCs w:val="0"/>
              </w:rPr>
              <w:t>.</w:t>
            </w:r>
            <w:r w:rsidRPr="00054B84">
              <w:rPr>
                <w:rStyle w:val="Strong"/>
                <w:b w:val="0"/>
                <w:bCs w:val="0"/>
              </w:rPr>
              <w:t xml:space="preserve"> </w:t>
            </w:r>
          </w:p>
          <w:p w14:paraId="48B7CA39" w14:textId="3E5DCB96" w:rsidR="009812AA" w:rsidRPr="00054B84" w:rsidRDefault="009812AA">
            <w:pPr>
              <w:rPr>
                <w:rStyle w:val="Strong"/>
                <w:b w:val="0"/>
                <w:bCs w:val="0"/>
              </w:rPr>
            </w:pPr>
          </w:p>
        </w:tc>
      </w:tr>
      <w:tr w:rsidR="009812AA" w14:paraId="1483D4AC"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34EA1DBE" w14:textId="7A6182FC" w:rsidR="009812AA" w:rsidRPr="00B422D6" w:rsidRDefault="00730DEF" w:rsidP="00B422D6">
            <w:pPr>
              <w:pStyle w:val="TableSecondHeading"/>
              <w:jc w:val="center"/>
              <w:rPr>
                <w:rStyle w:val="Strong"/>
                <w:b/>
                <w:bCs w:val="0"/>
              </w:rPr>
            </w:pPr>
            <w:r>
              <w:rPr>
                <w:rStyle w:val="Strong"/>
                <w:b/>
                <w:bCs w:val="0"/>
                <w:color w:val="auto"/>
              </w:rPr>
              <w:t>Review</w:t>
            </w:r>
          </w:p>
        </w:tc>
      </w:tr>
      <w:tr w:rsidR="009812AA" w14:paraId="7D6001FF"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20828B60" w14:textId="77777777" w:rsidR="009812AA" w:rsidRPr="00B422D6" w:rsidRDefault="009812AA" w:rsidP="002D3D60">
            <w:pPr>
              <w:rPr>
                <w:rStyle w:val="Strong"/>
                <w:b w:val="0"/>
                <w:bCs w:val="0"/>
              </w:rPr>
            </w:pPr>
            <w:r w:rsidRPr="00B422D6">
              <w:rPr>
                <w:rStyle w:val="Strong"/>
                <w:bCs w:val="0"/>
              </w:rPr>
              <w:t>Judicial enforcement</w:t>
            </w:r>
          </w:p>
        </w:tc>
        <w:tc>
          <w:tcPr>
            <w:tcW w:w="6521" w:type="dxa"/>
            <w:tcBorders>
              <w:top w:val="single" w:sz="4" w:space="0" w:color="auto"/>
              <w:left w:val="single" w:sz="4" w:space="0" w:color="auto"/>
              <w:bottom w:val="single" w:sz="4" w:space="0" w:color="auto"/>
              <w:right w:val="single" w:sz="4" w:space="0" w:color="auto"/>
            </w:tcBorders>
            <w:hideMark/>
          </w:tcPr>
          <w:p w14:paraId="4B29A0E4" w14:textId="0D5BF87A" w:rsidR="009812AA" w:rsidRPr="00054B84" w:rsidRDefault="009812AA" w:rsidP="000A4752">
            <w:pPr>
              <w:keepNext/>
              <w:rPr>
                <w:rStyle w:val="Strong"/>
                <w:b w:val="0"/>
                <w:bCs w:val="0"/>
              </w:rPr>
            </w:pPr>
            <w:r w:rsidRPr="00054B84">
              <w:rPr>
                <w:rStyle w:val="Strong"/>
                <w:b w:val="0"/>
                <w:bCs w:val="0"/>
              </w:rPr>
              <w:t>Federal Court proceedings have significant cost and timing implications for merger parties</w:t>
            </w:r>
            <w:r w:rsidR="00072383" w:rsidRPr="00054B84">
              <w:rPr>
                <w:rStyle w:val="Strong"/>
                <w:b w:val="0"/>
                <w:bCs w:val="0"/>
              </w:rPr>
              <w:t>, third parties and the ACCC</w:t>
            </w:r>
            <w:r w:rsidR="00E36277">
              <w:rPr>
                <w:rStyle w:val="Strong"/>
                <w:b w:val="0"/>
                <w:bCs w:val="0"/>
              </w:rPr>
              <w:t>.</w:t>
            </w:r>
          </w:p>
          <w:p w14:paraId="170E1B74" w14:textId="1C5825C8" w:rsidR="009812AA" w:rsidRPr="00054B84" w:rsidRDefault="009812AA" w:rsidP="000A4752">
            <w:pPr>
              <w:keepNext/>
              <w:rPr>
                <w:rStyle w:val="Strong"/>
                <w:b w:val="0"/>
                <w:bCs w:val="0"/>
              </w:rPr>
            </w:pPr>
            <w:r w:rsidRPr="00054B84">
              <w:rPr>
                <w:rStyle w:val="Strong"/>
                <w:b w:val="0"/>
                <w:bCs w:val="0"/>
              </w:rPr>
              <w:t>Less transparent than an administrative system with less precedent available</w:t>
            </w:r>
            <w:r w:rsidR="00E36277">
              <w:rPr>
                <w:rStyle w:val="Strong"/>
                <w:b w:val="0"/>
                <w:bCs w:val="0"/>
              </w:rPr>
              <w:t>.</w:t>
            </w:r>
          </w:p>
          <w:p w14:paraId="133FF5B4" w14:textId="7CAE2BBD" w:rsidR="009812AA" w:rsidRPr="00054B84" w:rsidRDefault="009812AA" w:rsidP="000A4752">
            <w:pPr>
              <w:keepNext/>
              <w:rPr>
                <w:rStyle w:val="Strong"/>
                <w:b w:val="0"/>
                <w:bCs w:val="0"/>
              </w:rPr>
            </w:pPr>
            <w:r w:rsidRPr="00054B84">
              <w:rPr>
                <w:rStyle w:val="Strong"/>
                <w:b w:val="0"/>
                <w:bCs w:val="0"/>
              </w:rPr>
              <w:t>Third parties may be affected by a merger but are currently deterred from participation due to reluctance to appear in court</w:t>
            </w:r>
            <w:r w:rsidR="0032066D" w:rsidRPr="00054B84">
              <w:rPr>
                <w:rStyle w:val="Strong"/>
                <w:b w:val="0"/>
                <w:bCs w:val="0"/>
              </w:rPr>
              <w:t>,</w:t>
            </w:r>
            <w:r w:rsidRPr="00054B84">
              <w:rPr>
                <w:rStyle w:val="Strong"/>
                <w:b w:val="0"/>
                <w:bCs w:val="0"/>
              </w:rPr>
              <w:t xml:space="preserve"> fear of retribution</w:t>
            </w:r>
            <w:r w:rsidR="0032066D" w:rsidRPr="00054B84">
              <w:rPr>
                <w:rStyle w:val="Strong"/>
                <w:b w:val="0"/>
                <w:bCs w:val="0"/>
              </w:rPr>
              <w:t>, or cost</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17C1B596" w14:textId="2F580FF6" w:rsidR="009812AA" w:rsidRPr="00054B84" w:rsidRDefault="009812AA" w:rsidP="000A4752">
            <w:pPr>
              <w:keepNext/>
              <w:rPr>
                <w:rStyle w:val="Strong"/>
                <w:b w:val="0"/>
                <w:bCs w:val="0"/>
              </w:rPr>
            </w:pPr>
            <w:r w:rsidRPr="00054B84">
              <w:rPr>
                <w:rStyle w:val="Strong"/>
                <w:b w:val="0"/>
                <w:bCs w:val="0"/>
              </w:rPr>
              <w:t xml:space="preserve">Replace the current </w:t>
            </w:r>
            <w:r w:rsidR="00A21475" w:rsidRPr="00054B84">
              <w:rPr>
                <w:rStyle w:val="Strong"/>
                <w:b w:val="0"/>
                <w:bCs w:val="0"/>
              </w:rPr>
              <w:t>ad hoc approach</w:t>
            </w:r>
            <w:r w:rsidRPr="00054B84">
              <w:rPr>
                <w:rStyle w:val="Strong"/>
                <w:b w:val="0"/>
                <w:bCs w:val="0"/>
              </w:rPr>
              <w:t xml:space="preserve"> with a </w:t>
            </w:r>
            <w:r w:rsidR="00EF73C4" w:rsidRPr="00054B84">
              <w:rPr>
                <w:rStyle w:val="Strong"/>
                <w:b w:val="0"/>
                <w:bCs w:val="0"/>
              </w:rPr>
              <w:t xml:space="preserve">stronger, simpler, </w:t>
            </w:r>
            <w:r w:rsidRPr="00054B84">
              <w:rPr>
                <w:rStyle w:val="Strong"/>
                <w:b w:val="0"/>
                <w:bCs w:val="0"/>
              </w:rPr>
              <w:t>more efficient, risk-based and transparent administrative system that enables market participants, such as customers and small businesses, to be heard in merger reviews</w:t>
            </w:r>
            <w:r w:rsidR="009A4463" w:rsidRPr="00054B84">
              <w:rPr>
                <w:rStyle w:val="Strong"/>
                <w:b w:val="0"/>
                <w:bCs w:val="0"/>
              </w:rPr>
              <w:t>.</w:t>
            </w:r>
          </w:p>
        </w:tc>
      </w:tr>
      <w:tr w:rsidR="009812AA" w14:paraId="6B1AE237"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673990EA" w14:textId="77777777" w:rsidR="009812AA" w:rsidRPr="002D3D60" w:rsidRDefault="009812AA" w:rsidP="002D3D60">
            <w:pPr>
              <w:rPr>
                <w:rStyle w:val="Strong"/>
                <w:bCs w:val="0"/>
              </w:rPr>
            </w:pPr>
            <w:r w:rsidRPr="002D3D60">
              <w:rPr>
                <w:rStyle w:val="Strong"/>
                <w:bCs w:val="0"/>
              </w:rPr>
              <w:lastRenderedPageBreak/>
              <w:t>Full merits review</w:t>
            </w:r>
          </w:p>
        </w:tc>
        <w:tc>
          <w:tcPr>
            <w:tcW w:w="6521" w:type="dxa"/>
            <w:tcBorders>
              <w:top w:val="single" w:sz="4" w:space="0" w:color="auto"/>
              <w:left w:val="single" w:sz="4" w:space="0" w:color="auto"/>
              <w:bottom w:val="single" w:sz="4" w:space="0" w:color="auto"/>
              <w:right w:val="single" w:sz="4" w:space="0" w:color="auto"/>
            </w:tcBorders>
            <w:hideMark/>
          </w:tcPr>
          <w:p w14:paraId="267955D3" w14:textId="15B9A0D6" w:rsidR="009812AA" w:rsidRPr="00054B84" w:rsidRDefault="007A3BC2">
            <w:pPr>
              <w:rPr>
                <w:rStyle w:val="Strong"/>
                <w:b w:val="0"/>
                <w:bCs w:val="0"/>
              </w:rPr>
            </w:pPr>
            <w:r w:rsidRPr="00054B84">
              <w:rPr>
                <w:rStyle w:val="Strong"/>
                <w:b w:val="0"/>
                <w:bCs w:val="0"/>
              </w:rPr>
              <w:t>It is important to incentivise</w:t>
            </w:r>
            <w:r w:rsidR="00DB3421" w:rsidRPr="00054B84">
              <w:rPr>
                <w:rStyle w:val="Strong"/>
                <w:b w:val="0"/>
                <w:bCs w:val="0"/>
              </w:rPr>
              <w:t xml:space="preserve"> parties to provide information upfront to the ACCC</w:t>
            </w:r>
            <w:r w:rsidR="00E36277">
              <w:rPr>
                <w:rStyle w:val="Strong"/>
                <w:b w:val="0"/>
                <w:bCs w:val="0"/>
              </w:rPr>
              <w:t>.</w:t>
            </w:r>
          </w:p>
          <w:p w14:paraId="74303DF6" w14:textId="14582CC1" w:rsidR="009B7F4E" w:rsidRPr="00054B84" w:rsidRDefault="00F02938">
            <w:pPr>
              <w:rPr>
                <w:rStyle w:val="Strong"/>
                <w:b w:val="0"/>
                <w:bCs w:val="0"/>
              </w:rPr>
            </w:pPr>
            <w:r w:rsidRPr="00054B84">
              <w:rPr>
                <w:rStyle w:val="Strong"/>
                <w:b w:val="0"/>
                <w:bCs w:val="0"/>
              </w:rPr>
              <w:t>Not limiting reviews of ACCC decisions</w:t>
            </w:r>
            <w:r w:rsidR="009B7F4E" w:rsidRPr="00054B84">
              <w:rPr>
                <w:rStyle w:val="Strong"/>
                <w:b w:val="0"/>
                <w:bCs w:val="0"/>
              </w:rPr>
              <w:t xml:space="preserve"> to the investigatory record </w:t>
            </w:r>
            <w:r w:rsidR="0032370A" w:rsidRPr="00054B84">
              <w:rPr>
                <w:rStyle w:val="Strong"/>
                <w:b w:val="0"/>
                <w:bCs w:val="0"/>
              </w:rPr>
              <w:t xml:space="preserve">that was </w:t>
            </w:r>
            <w:r w:rsidR="009B7F4E" w:rsidRPr="00054B84">
              <w:rPr>
                <w:rStyle w:val="Strong"/>
                <w:b w:val="0"/>
                <w:bCs w:val="0"/>
              </w:rPr>
              <w:t xml:space="preserve">before the ACCC </w:t>
            </w:r>
            <w:r w:rsidR="00C90888" w:rsidRPr="00054B84">
              <w:rPr>
                <w:rStyle w:val="Strong"/>
                <w:b w:val="0"/>
                <w:bCs w:val="0"/>
              </w:rPr>
              <w:t xml:space="preserve">would </w:t>
            </w:r>
            <w:r w:rsidR="009B7F4E" w:rsidRPr="00054B84">
              <w:rPr>
                <w:rStyle w:val="Strong"/>
                <w:b w:val="0"/>
                <w:bCs w:val="0"/>
              </w:rPr>
              <w:t>ensure quality and robust regulatory processes</w:t>
            </w:r>
            <w:r w:rsidR="00E36277">
              <w:rPr>
                <w:rStyle w:val="Strong"/>
                <w:b w:val="0"/>
                <w:bCs w:val="0"/>
              </w:rPr>
              <w:t>.</w:t>
            </w:r>
          </w:p>
          <w:p w14:paraId="17DE39F3" w14:textId="789C0426" w:rsidR="009812AA" w:rsidRPr="00054B84" w:rsidRDefault="009812AA">
            <w:pPr>
              <w:rPr>
                <w:rStyle w:val="Strong"/>
                <w:b w:val="0"/>
                <w:bCs w:val="0"/>
              </w:rPr>
            </w:pPr>
            <w:r w:rsidRPr="00054B84">
              <w:rPr>
                <w:rStyle w:val="Strong"/>
                <w:b w:val="0"/>
                <w:bCs w:val="0"/>
              </w:rPr>
              <w:t>Full merits review would take longer than limited merits review and mergers are time-sensitive</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474258A3" w14:textId="60691B5E" w:rsidR="008B44D1" w:rsidRPr="00054B84" w:rsidRDefault="004757DC" w:rsidP="004757DC">
            <w:pPr>
              <w:rPr>
                <w:rStyle w:val="Strong"/>
                <w:b w:val="0"/>
                <w:bCs w:val="0"/>
              </w:rPr>
            </w:pPr>
            <w:r w:rsidRPr="00054B84">
              <w:rPr>
                <w:rStyle w:val="Strong"/>
                <w:b w:val="0"/>
                <w:bCs w:val="0"/>
              </w:rPr>
              <w:t xml:space="preserve">The Tribunal’s review of ACCC determinations is limited as it will be based on the material before the ACCC. However, the Tribunal may seek clarifying information, and the Tribunal may allow the parties to present new information or evidence which was not in existence at the time of the ACCC’s determination. </w:t>
            </w:r>
          </w:p>
          <w:p w14:paraId="6A2E214F" w14:textId="2E9AB580" w:rsidR="004757DC" w:rsidRPr="00054B84" w:rsidRDefault="008B44D1" w:rsidP="004757DC">
            <w:pPr>
              <w:rPr>
                <w:rStyle w:val="Strong"/>
                <w:b w:val="0"/>
                <w:bCs w:val="0"/>
              </w:rPr>
            </w:pPr>
            <w:r w:rsidRPr="00054B84">
              <w:rPr>
                <w:rStyle w:val="Strong"/>
                <w:b w:val="0"/>
                <w:bCs w:val="0"/>
              </w:rPr>
              <w:t xml:space="preserve">A </w:t>
            </w:r>
            <w:r w:rsidR="004757DC" w:rsidRPr="00054B84">
              <w:rPr>
                <w:rStyle w:val="Strong"/>
                <w:b w:val="0"/>
                <w:bCs w:val="0"/>
              </w:rPr>
              <w:t xml:space="preserve">fast-track review by the Tribunal may </w:t>
            </w:r>
            <w:r w:rsidRPr="00054B84">
              <w:rPr>
                <w:rStyle w:val="Strong"/>
                <w:b w:val="0"/>
                <w:bCs w:val="0"/>
              </w:rPr>
              <w:t xml:space="preserve">alternatively </w:t>
            </w:r>
            <w:r w:rsidR="004757DC" w:rsidRPr="00054B84">
              <w:rPr>
                <w:rStyle w:val="Strong"/>
                <w:b w:val="0"/>
                <w:bCs w:val="0"/>
              </w:rPr>
              <w:t>be sought, based only on the material before the ACCC. With a fast-track review, the Tribunal would be bound by the findings of fact made by the ACCC.</w:t>
            </w:r>
          </w:p>
          <w:p w14:paraId="41C985B2" w14:textId="2F2D6292" w:rsidR="007D4EB0" w:rsidRPr="00054B84" w:rsidRDefault="004757DC" w:rsidP="00A405D4">
            <w:pPr>
              <w:rPr>
                <w:rStyle w:val="Strong"/>
                <w:b w:val="0"/>
                <w:bCs w:val="0"/>
              </w:rPr>
            </w:pPr>
            <w:r w:rsidRPr="00054B84">
              <w:rPr>
                <w:rStyle w:val="Strong"/>
                <w:b w:val="0"/>
                <w:bCs w:val="0"/>
              </w:rPr>
              <w:t xml:space="preserve">Limited merits review will allow for reconsideration of the ACCC’s determination, subjecting it to scrutiny and review. Limited merits review, rather than full merits review, appropriately balances procedural fairness by allowing for a change of circumstances to be taken into account and ensures merger parties have the incentive to place relevant information before the ACCC. This mitigates the risk of strategic behaviour. Limited merits review also, importantly in a merger situation, reduces the time required to review an ACCC determination. </w:t>
            </w:r>
          </w:p>
        </w:tc>
      </w:tr>
    </w:tbl>
    <w:p w14:paraId="01654F0C" w14:textId="77777777" w:rsidR="009812AA" w:rsidRDefault="009812AA" w:rsidP="009812AA">
      <w:pPr>
        <w:pStyle w:val="DoubleDot"/>
        <w:numPr>
          <w:ilvl w:val="0"/>
          <w:numId w:val="0"/>
        </w:numPr>
        <w:rPr>
          <w:sz w:val="2"/>
          <w:szCs w:val="2"/>
        </w:rPr>
      </w:pPr>
    </w:p>
    <w:p w14:paraId="6AAEA471" w14:textId="7F776005" w:rsidR="007923A3" w:rsidRPr="00914E3F" w:rsidRDefault="007923A3" w:rsidP="009C1AA3">
      <w:pPr>
        <w:pStyle w:val="DoubleDot"/>
        <w:numPr>
          <w:ilvl w:val="0"/>
          <w:numId w:val="0"/>
        </w:numPr>
        <w:rPr>
          <w:sz w:val="2"/>
          <w:szCs w:val="2"/>
        </w:rPr>
      </w:pPr>
    </w:p>
    <w:sectPr w:rsidR="007923A3" w:rsidRPr="00914E3F" w:rsidSect="00CF4978">
      <w:headerReference w:type="even" r:id="rId57"/>
      <w:headerReference w:type="default" r:id="rId58"/>
      <w:footerReference w:type="even" r:id="rId59"/>
      <w:footerReference w:type="default" r:id="rId60"/>
      <w:headerReference w:type="first" r:id="rId61"/>
      <w:footerReference w:type="first" r:id="rId62"/>
      <w:pgSz w:w="16838" w:h="11906" w:orient="landscape" w:code="9"/>
      <w:pgMar w:top="1417" w:right="1843"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A640A" w14:textId="77777777" w:rsidR="001E37B9" w:rsidRDefault="001E37B9">
      <w:pPr>
        <w:spacing w:before="0" w:after="0"/>
      </w:pPr>
      <w:r>
        <w:separator/>
      </w:r>
    </w:p>
  </w:endnote>
  <w:endnote w:type="continuationSeparator" w:id="0">
    <w:p w14:paraId="2E3109BB" w14:textId="77777777" w:rsidR="001E37B9" w:rsidRDefault="001E37B9">
      <w:pPr>
        <w:spacing w:before="0" w:after="0"/>
      </w:pPr>
      <w:r>
        <w:continuationSeparator/>
      </w:r>
    </w:p>
  </w:endnote>
  <w:endnote w:type="continuationNotice" w:id="1">
    <w:p w14:paraId="346BA958" w14:textId="77777777" w:rsidR="001E37B9" w:rsidRDefault="001E37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2FBE" w14:textId="7FDD131F" w:rsidR="0036535C" w:rsidRDefault="0036535C" w:rsidP="0036535C">
    <w:pPr>
      <w:pStyle w:val="SecurityClassificationFooter"/>
    </w:pPr>
  </w:p>
  <w:p w14:paraId="01F6C76B" w14:textId="2651060C" w:rsidR="00686493" w:rsidRDefault="00265A57" w:rsidP="00686493">
    <w:pPr>
      <w:pStyle w:val="SecurityClassificationFooter"/>
    </w:pPr>
    <w:fldSimple w:instr="DOCPROPERTY WorkingDocStatus \* MERGEFORMAT">
      <w:r w:rsidR="007B5DFC">
        <w:t>DRAFT WORKING DOCUMENT</w:t>
      </w:r>
    </w:fldSimple>
  </w:p>
  <w:p w14:paraId="37836A87" w14:textId="28876EEF" w:rsidR="0012690D" w:rsidRDefault="00265A57" w:rsidP="00276921">
    <w:pPr>
      <w:pStyle w:val="SecurityClassificationFooter"/>
    </w:pPr>
    <w:fldSimple w:instr="DOCPROPERTY SecurityClassification \* MERGEFORMAT"/>
    <w:fldSimple w:instr="DOCPROPERTY SecurityClassification \* MERGEFORMA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7680"/>
      <w:docPartObj>
        <w:docPartGallery w:val="Page Numbers (Bottom of Page)"/>
        <w:docPartUnique/>
      </w:docPartObj>
    </w:sdtPr>
    <w:sdtEndPr>
      <w:rPr>
        <w:noProof/>
      </w:rPr>
    </w:sdtEndPr>
    <w:sdtContent>
      <w:p w14:paraId="41A0247F" w14:textId="6C1BED9E" w:rsidR="00191BED" w:rsidRDefault="00E00695" w:rsidP="00887F6B">
        <w:pPr>
          <w:pStyle w:val="Footer"/>
          <w:jc w:val="right"/>
        </w:pPr>
        <w:r>
          <w:t>i</w:t>
        </w:r>
      </w:p>
    </w:sdtContent>
  </w:sdt>
  <w:p w14:paraId="78EDE962" w14:textId="4F56D7C6" w:rsidR="0012690D" w:rsidRDefault="0012690D" w:rsidP="00276921">
    <w:pPr>
      <w:pStyle w:val="SecurityClassification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8871" w14:textId="77777777" w:rsidR="0036535C" w:rsidRDefault="0036535C">
    <w:pPr>
      <w:pStyle w:val="Footer"/>
    </w:pPr>
  </w:p>
  <w:p w14:paraId="53BAA582" w14:textId="7E19CA78" w:rsidR="00686493" w:rsidRDefault="00265A57" w:rsidP="00686493">
    <w:pPr>
      <w:pStyle w:val="SecurityClassificationFooter"/>
    </w:pPr>
    <w:fldSimple w:instr="DOCPROPERTY WorkingDocStatus \* MERGEFORMAT">
      <w:r w:rsidR="007B5DFC">
        <w:t>DRAFT WORKING DOCUMENT</w:t>
      </w:r>
    </w:fldSimple>
  </w:p>
  <w:p w14:paraId="6BA1C39B" w14:textId="6EB79F3D" w:rsidR="0012690D" w:rsidRDefault="00265A57" w:rsidP="00276921">
    <w:pPr>
      <w:pStyle w:val="SecurityClassificationFooter"/>
    </w:pPr>
    <w:fldSimple w:instr="DOCPROPERTY SecurityClassification \* MERGEFORMAT"/>
    <w:fldSimple w:instr="DOCPROPERTY SecurityClassification \* MERGEFORMA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403334"/>
      <w:docPartObj>
        <w:docPartGallery w:val="Page Numbers (Bottom of Page)"/>
        <w:docPartUnique/>
      </w:docPartObj>
    </w:sdtPr>
    <w:sdtEndPr>
      <w:rPr>
        <w:noProof/>
      </w:rPr>
    </w:sdtEndPr>
    <w:sdtContent>
      <w:p w14:paraId="57A855CB" w14:textId="77777777" w:rsidR="006E1D5B" w:rsidRDefault="006E1D5B" w:rsidP="00887F6B">
        <w:pPr>
          <w:pStyle w:val="Footer"/>
          <w:jc w:val="right"/>
        </w:pPr>
        <w:r>
          <w:t>ii</w:t>
        </w:r>
      </w:p>
    </w:sdtContent>
  </w:sdt>
  <w:p w14:paraId="6FF02DDA" w14:textId="3271E126" w:rsidR="006E1D5B" w:rsidRDefault="006E1D5B" w:rsidP="00276921">
    <w:pPr>
      <w:pStyle w:val="SecurityClassification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63039"/>
      <w:docPartObj>
        <w:docPartGallery w:val="Page Numbers (Bottom of Page)"/>
        <w:docPartUnique/>
      </w:docPartObj>
    </w:sdtPr>
    <w:sdtEndPr>
      <w:rPr>
        <w:noProof/>
      </w:rPr>
    </w:sdtEndPr>
    <w:sdtContent>
      <w:p w14:paraId="4690E846" w14:textId="77777777" w:rsidR="00E00695" w:rsidRDefault="00E00695" w:rsidP="00887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B9514" w14:textId="36394004" w:rsidR="00E00695" w:rsidRDefault="00E00695" w:rsidP="00276921">
    <w:pPr>
      <w:pStyle w:val="SecurityClassification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2EB1" w14:textId="31189683" w:rsidR="003F00AC" w:rsidRDefault="003F00AC" w:rsidP="00BC6E69">
    <w:pPr>
      <w:pStyle w:val="FooterEven"/>
      <w:jc w:val="both"/>
      <w:rPr>
        <w:position w:val="-8"/>
      </w:rPr>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tab/>
    </w:r>
    <w:r>
      <w:rPr>
        <w:position w:val="-8"/>
      </w:rPr>
      <w:t>Competition Review</w:t>
    </w:r>
  </w:p>
  <w:p w14:paraId="07F5F764" w14:textId="0BDB298B" w:rsidR="00686493" w:rsidRDefault="00265A57" w:rsidP="007E5A80">
    <w:pPr>
      <w:pStyle w:val="SecurityClassificationFooter"/>
    </w:pPr>
    <w:fldSimple w:instr="DOCPROPERTY WorkingDocStatus \* MERGEFORMAT">
      <w:r w:rsidR="007B5DFC">
        <w:t>DRAFT WORKING DOCUMENT</w:t>
      </w:r>
    </w:fldSimple>
  </w:p>
  <w:p w14:paraId="6A2A847F" w14:textId="2345ACF9" w:rsidR="0012690D" w:rsidRPr="00023B06" w:rsidRDefault="00A738ED" w:rsidP="0012690D">
    <w:pPr>
      <w:pStyle w:val="SecurityClassificationFooter"/>
    </w:pPr>
    <w:r>
      <w:fldChar w:fldCharType="begin"/>
    </w:r>
    <w:r w:rsidR="00BD1A86">
      <w:fldChar w:fldCharType="separate"/>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CF7A" w14:textId="2FDA5C08" w:rsidR="003F00AC" w:rsidRDefault="003F00AC" w:rsidP="00103F3C">
    <w:pPr>
      <w:pStyle w:val="FooterOdd"/>
    </w:pPr>
    <w:r>
      <w:tab/>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6DC6" w14:textId="77777777" w:rsidR="003F00AC" w:rsidRDefault="003F00AC" w:rsidP="00095D88">
    <w:pPr>
      <w:pStyle w:val="Footer"/>
    </w:pPr>
  </w:p>
  <w:p w14:paraId="49E67E2A" w14:textId="598E416A" w:rsidR="00686493" w:rsidRDefault="00265A57" w:rsidP="00686493">
    <w:pPr>
      <w:pStyle w:val="SecurityClassificationFooter"/>
    </w:pPr>
    <w:fldSimple w:instr="DOCPROPERTY WorkingDocStatus \* MERGEFORMAT">
      <w:r w:rsidR="007B5DFC">
        <w:t>DRAFT WORKING DOCUMENT</w:t>
      </w:r>
    </w:fldSimple>
  </w:p>
  <w:p w14:paraId="57EB52AC" w14:textId="1ABF1AF1" w:rsidR="0012690D" w:rsidRPr="00095D88" w:rsidRDefault="00265A57" w:rsidP="00276921">
    <w:pPr>
      <w:pStyle w:val="SecurityClassificationFooter"/>
    </w:pPr>
    <w:fldSimple w:instr="DOCPROPERTY SecurityClassification \* MERGEFORMAT"/>
    <w:fldSimple w:instr="DOCPROPERTY SecurityClassification \* MERGEFORMA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886B" w14:textId="77777777" w:rsidR="001E37B9" w:rsidRPr="00ED5A20" w:rsidRDefault="001E37B9" w:rsidP="000F6233">
      <w:pPr>
        <w:rPr>
          <w:color w:val="4D7861" w:themeColor="accent2"/>
        </w:rPr>
      </w:pPr>
      <w:r w:rsidRPr="00ED5A20">
        <w:rPr>
          <w:color w:val="4D7861" w:themeColor="accent2"/>
        </w:rPr>
        <w:separator/>
      </w:r>
    </w:p>
  </w:footnote>
  <w:footnote w:type="continuationSeparator" w:id="0">
    <w:p w14:paraId="293B5A4F" w14:textId="77777777" w:rsidR="001E37B9" w:rsidRPr="00B737EB" w:rsidRDefault="001E37B9">
      <w:pPr>
        <w:spacing w:before="0" w:after="0"/>
        <w:rPr>
          <w:color w:val="2C384A" w:themeColor="accent1"/>
        </w:rPr>
      </w:pPr>
      <w:r w:rsidRPr="00B737EB">
        <w:rPr>
          <w:color w:val="2C384A" w:themeColor="accent1"/>
        </w:rPr>
        <w:continuationSeparator/>
      </w:r>
    </w:p>
  </w:footnote>
  <w:footnote w:type="continuationNotice" w:id="1">
    <w:p w14:paraId="7408BC85" w14:textId="77777777" w:rsidR="001E37B9" w:rsidRDefault="001E37B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786D" w14:textId="59F0A228" w:rsidR="00686493" w:rsidRDefault="00265A57" w:rsidP="00686493">
    <w:pPr>
      <w:pStyle w:val="SecurityClassificationHeader"/>
    </w:pPr>
    <w:fldSimple w:instr="DOCPROPERTY SecurityClassification \* MERGEFORMAT"/>
    <w:fldSimple w:instr="DOCPROPERTY WorkingDocStatus \* MERGEFORMAT">
      <w:r w:rsidR="007B5DFC">
        <w:t>DRAFT WORKING DOCUMENT</w:t>
      </w:r>
    </w:fldSimple>
  </w:p>
  <w:p w14:paraId="314AD896" w14:textId="79A193BA" w:rsidR="0036535C" w:rsidRDefault="0036535C" w:rsidP="0036535C">
    <w:pPr>
      <w:pStyle w:val="SecurityClassification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E0C9" w14:textId="67DD1BFC" w:rsidR="00565424" w:rsidRDefault="00265A57" w:rsidP="00686493">
    <w:pPr>
      <w:pStyle w:val="SecurityClassificationHeader"/>
    </w:pPr>
    <w:fldSimple w:instr="DOCPROPERTY SecurityClassification \* MERGEFORMA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82A0" w14:textId="3B33FB39" w:rsidR="00686493" w:rsidRDefault="00265A57" w:rsidP="00686493">
    <w:pPr>
      <w:pStyle w:val="SecurityClassificationHeader"/>
    </w:pPr>
    <w:fldSimple w:instr="DOCPROPERTY WorkingDocStatus \* MERGEFORMAT">
      <w:r w:rsidR="007B5DFC">
        <w:t>DRAFT WORKING DOCUMENT</w:t>
      </w:r>
    </w:fldSimple>
  </w:p>
  <w:p w14:paraId="4C846F12" w14:textId="06DB6580" w:rsidR="0036535C" w:rsidRDefault="0036535C" w:rsidP="0036535C">
    <w:pPr>
      <w:pStyle w:val="SecurityClassification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6CB7" w14:textId="1564CDE4" w:rsidR="004E555B" w:rsidRPr="00276921" w:rsidRDefault="00265A57" w:rsidP="0013761A">
    <w:pPr>
      <w:pStyle w:val="SecurityClassificationHeader"/>
    </w:pPr>
    <w:fldSimple w:instr="DOCPROPERTY SecurityClassification \* MERGEFORMA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B683" w14:textId="328A65D2" w:rsidR="00686493" w:rsidRDefault="00265A57" w:rsidP="007E5A80">
    <w:pPr>
      <w:pStyle w:val="SecurityClassificationHeader"/>
    </w:pPr>
    <w:fldSimple w:instr="DOCPROPERTY WorkingDocStatus \* MERGEFORMAT">
      <w:r w:rsidR="007B5DFC">
        <w:t>DRAFT WORKING DOCUMENT</w:t>
      </w:r>
    </w:fldSimple>
  </w:p>
  <w:p w14:paraId="6824D5AA" w14:textId="04461FDC" w:rsidR="003F00AC" w:rsidRPr="00AC75E2" w:rsidRDefault="003F00AC" w:rsidP="00AC75E2">
    <w:pPr>
      <w:pStyle w:val="HeaderEven"/>
    </w:pPr>
    <w:r>
      <w:rPr>
        <w:noProof/>
      </w:rPr>
      <w:drawing>
        <wp:anchor distT="0" distB="0" distL="114300" distR="114300" simplePos="0" relativeHeight="251658240" behindDoc="1" locked="1" layoutInCell="1" allowOverlap="1" wp14:anchorId="6825BFFC" wp14:editId="0B430F9A">
          <wp:simplePos x="0" y="0"/>
          <wp:positionH relativeFrom="page">
            <wp:align>left</wp:align>
          </wp:positionH>
          <wp:positionV relativeFrom="page">
            <wp:align>top</wp:align>
          </wp:positionV>
          <wp:extent cx="7570800" cy="936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9107" w14:textId="1314E298" w:rsidR="00276921" w:rsidRDefault="00276921" w:rsidP="00276921">
    <w:pPr>
      <w:pStyle w:val="SecurityClassification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EB62" w14:textId="0F7872A2" w:rsidR="00686493" w:rsidRDefault="00265A57" w:rsidP="00686493">
    <w:pPr>
      <w:pStyle w:val="SecurityClassificationHeader"/>
    </w:pPr>
    <w:fldSimple w:instr="DOCPROPERTY WorkingDocStatus \* MERGEFORMAT">
      <w:r w:rsidR="007B5DFC">
        <w:t>DRAFT WORKING DOCUMENT</w:t>
      </w:r>
    </w:fldSimple>
  </w:p>
  <w:p w14:paraId="4EA482D9" w14:textId="56C260AE" w:rsidR="003F00AC" w:rsidRPr="00095D88" w:rsidRDefault="003F00AC" w:rsidP="0036535C">
    <w:pPr>
      <w:pStyle w:val="SecurityClassificationHeader"/>
    </w:pPr>
  </w:p>
</w:hdr>
</file>

<file path=word/intelligence2.xml><?xml version="1.0" encoding="utf-8"?>
<int2:intelligence xmlns:int2="http://schemas.microsoft.com/office/intelligence/2020/intelligence" xmlns:oel="http://schemas.microsoft.com/office/2019/extlst">
  <int2:observations>
    <int2:bookmark int2:bookmarkName="_Int_1q4OmnHd" int2:invalidationBookmarkName="" int2:hashCode="FWLP8xJSNTRS1Z" int2:id="39tJCpUX">
      <int2:state int2:value="Rejected" int2:type="AugLoop_Text_Critique"/>
    </int2:bookmark>
    <int2:bookmark int2:bookmarkName="_Int_UP7l0du2" int2:invalidationBookmarkName="" int2:hashCode="KGN4v3d/XXY3Nx" int2:id="5Tvx1yMP">
      <int2:state int2:value="Rejected" int2:type="AugLoop_Text_Critique"/>
    </int2:bookmark>
    <int2:bookmark int2:bookmarkName="_Int_tlUkX9wA" int2:invalidationBookmarkName="" int2:hashCode="ZPCXRShing3ipY" int2:id="8troYitJ">
      <int2:state int2:value="Rejected" int2:type="AugLoop_Text_Critique"/>
    </int2:bookmark>
    <int2:bookmark int2:bookmarkName="_Int_prPpBUeJ" int2:invalidationBookmarkName="" int2:hashCode="KGN4v3d/XXY3Nx" int2:id="BUGnUAt7">
      <int2:state int2:value="Rejected" int2:type="AugLoop_Text_Critique"/>
    </int2:bookmark>
    <int2:bookmark int2:bookmarkName="_Int_nAMVO3HH" int2:invalidationBookmarkName="" int2:hashCode="KGN4v3d/XXY3Nx" int2:id="KiLVj9cT">
      <int2:state int2:value="Rejected" int2:type="AugLoop_Text_Critique"/>
    </int2:bookmark>
    <int2:bookmark int2:bookmarkName="_Int_xUGqB62U" int2:invalidationBookmarkName="" int2:hashCode="KGN4v3d/XXY3Nx" int2:id="NXV0tUbu">
      <int2:state int2:value="Rejected" int2:type="AugLoop_Text_Critique"/>
    </int2:bookmark>
    <int2:bookmark int2:bookmarkName="_Int_puxrEeyJ" int2:invalidationBookmarkName="" int2:hashCode="u+KP8bT2s4rVHm" int2:id="qjZdR5DO">
      <int2:state int2:value="Rejected" int2:type="AugLoop_Text_Critique"/>
    </int2:bookmark>
    <int2:bookmark int2:bookmarkName="_Int_E5ugdl88" int2:invalidationBookmarkName="" int2:hashCode="KGN4v3d/XXY3Nx" int2:id="yHD0KIB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984"/>
    <w:multiLevelType w:val="hybridMultilevel"/>
    <w:tmpl w:val="881AB42A"/>
    <w:lvl w:ilvl="0" w:tplc="0C09000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A4CCD"/>
    <w:multiLevelType w:val="hybridMultilevel"/>
    <w:tmpl w:val="80E68930"/>
    <w:lvl w:ilvl="0" w:tplc="97F2BBA0">
      <w:start w:val="2"/>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7510AE"/>
    <w:multiLevelType w:val="multilevel"/>
    <w:tmpl w:val="1FE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CA8CC6"/>
    <w:multiLevelType w:val="hybridMultilevel"/>
    <w:tmpl w:val="FFFFFFFF"/>
    <w:lvl w:ilvl="0" w:tplc="7DA80CBC">
      <w:start w:val="1"/>
      <w:numFmt w:val="bullet"/>
      <w:lvlText w:val="•"/>
      <w:lvlJc w:val="left"/>
      <w:pPr>
        <w:ind w:left="720" w:hanging="360"/>
      </w:pPr>
      <w:rPr>
        <w:rFonts w:ascii="Times New Roman" w:hAnsi="Times New Roman" w:hint="default"/>
      </w:rPr>
    </w:lvl>
    <w:lvl w:ilvl="1" w:tplc="F7CCE830">
      <w:start w:val="1"/>
      <w:numFmt w:val="bullet"/>
      <w:lvlText w:val="o"/>
      <w:lvlJc w:val="left"/>
      <w:pPr>
        <w:ind w:left="1440" w:hanging="360"/>
      </w:pPr>
      <w:rPr>
        <w:rFonts w:ascii="Courier New" w:hAnsi="Courier New" w:hint="default"/>
      </w:rPr>
    </w:lvl>
    <w:lvl w:ilvl="2" w:tplc="1578126C">
      <w:start w:val="1"/>
      <w:numFmt w:val="bullet"/>
      <w:lvlText w:val=""/>
      <w:lvlJc w:val="left"/>
      <w:pPr>
        <w:ind w:left="2160" w:hanging="360"/>
      </w:pPr>
      <w:rPr>
        <w:rFonts w:ascii="Wingdings" w:hAnsi="Wingdings" w:hint="default"/>
      </w:rPr>
    </w:lvl>
    <w:lvl w:ilvl="3" w:tplc="1ECCDC56">
      <w:start w:val="1"/>
      <w:numFmt w:val="bullet"/>
      <w:lvlText w:val=""/>
      <w:lvlJc w:val="left"/>
      <w:pPr>
        <w:ind w:left="2880" w:hanging="360"/>
      </w:pPr>
      <w:rPr>
        <w:rFonts w:ascii="Symbol" w:hAnsi="Symbol" w:hint="default"/>
      </w:rPr>
    </w:lvl>
    <w:lvl w:ilvl="4" w:tplc="8DCA0282">
      <w:start w:val="1"/>
      <w:numFmt w:val="bullet"/>
      <w:lvlText w:val="o"/>
      <w:lvlJc w:val="left"/>
      <w:pPr>
        <w:ind w:left="3600" w:hanging="360"/>
      </w:pPr>
      <w:rPr>
        <w:rFonts w:ascii="Courier New" w:hAnsi="Courier New" w:hint="default"/>
      </w:rPr>
    </w:lvl>
    <w:lvl w:ilvl="5" w:tplc="A2E6EF06">
      <w:start w:val="1"/>
      <w:numFmt w:val="bullet"/>
      <w:lvlText w:val=""/>
      <w:lvlJc w:val="left"/>
      <w:pPr>
        <w:ind w:left="4320" w:hanging="360"/>
      </w:pPr>
      <w:rPr>
        <w:rFonts w:ascii="Wingdings" w:hAnsi="Wingdings" w:hint="default"/>
      </w:rPr>
    </w:lvl>
    <w:lvl w:ilvl="6" w:tplc="5B484F3E">
      <w:start w:val="1"/>
      <w:numFmt w:val="bullet"/>
      <w:lvlText w:val=""/>
      <w:lvlJc w:val="left"/>
      <w:pPr>
        <w:ind w:left="5040" w:hanging="360"/>
      </w:pPr>
      <w:rPr>
        <w:rFonts w:ascii="Symbol" w:hAnsi="Symbol" w:hint="default"/>
      </w:rPr>
    </w:lvl>
    <w:lvl w:ilvl="7" w:tplc="6E46DAC4">
      <w:start w:val="1"/>
      <w:numFmt w:val="bullet"/>
      <w:lvlText w:val="o"/>
      <w:lvlJc w:val="left"/>
      <w:pPr>
        <w:ind w:left="5760" w:hanging="360"/>
      </w:pPr>
      <w:rPr>
        <w:rFonts w:ascii="Courier New" w:hAnsi="Courier New" w:hint="default"/>
      </w:rPr>
    </w:lvl>
    <w:lvl w:ilvl="8" w:tplc="2D98A9E2">
      <w:start w:val="1"/>
      <w:numFmt w:val="bullet"/>
      <w:lvlText w:val=""/>
      <w:lvlJc w:val="left"/>
      <w:pPr>
        <w:ind w:left="6480" w:hanging="360"/>
      </w:pPr>
      <w:rPr>
        <w:rFonts w:ascii="Wingdings" w:hAnsi="Wingdings" w:hint="default"/>
      </w:rPr>
    </w:lvl>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5347961"/>
    <w:multiLevelType w:val="multilevel"/>
    <w:tmpl w:val="5D24C9D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E4C03"/>
    <w:multiLevelType w:val="hybridMultilevel"/>
    <w:tmpl w:val="0C7E9BF4"/>
    <w:lvl w:ilvl="0" w:tplc="5C7C70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8009D9"/>
    <w:multiLevelType w:val="hybridMultilevel"/>
    <w:tmpl w:val="7946D8D6"/>
    <w:lvl w:ilvl="0" w:tplc="2EB0680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138F5"/>
    <w:multiLevelType w:val="hybridMultilevel"/>
    <w:tmpl w:val="D7DA4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196302"/>
    <w:multiLevelType w:val="hybridMultilevel"/>
    <w:tmpl w:val="43A21E32"/>
    <w:lvl w:ilvl="0" w:tplc="A7782FD4">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3" w15:restartNumberingAfterBreak="0">
    <w:nsid w:val="510D2021"/>
    <w:multiLevelType w:val="multilevel"/>
    <w:tmpl w:val="72F8140E"/>
    <w:numStyleLink w:val="OutlineList"/>
  </w:abstractNum>
  <w:abstractNum w:abstractNumId="24"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C04CD9"/>
    <w:multiLevelType w:val="hybridMultilevel"/>
    <w:tmpl w:val="06FC48E4"/>
    <w:lvl w:ilvl="0" w:tplc="AD262300">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4132DEC"/>
    <w:multiLevelType w:val="hybridMultilevel"/>
    <w:tmpl w:val="2702EE64"/>
    <w:lvl w:ilvl="0" w:tplc="70B8DC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6864F5"/>
    <w:multiLevelType w:val="hybridMultilevel"/>
    <w:tmpl w:val="C49C0E74"/>
    <w:lvl w:ilvl="0" w:tplc="70B8DC68">
      <w:start w:val="1"/>
      <w:numFmt w:val="lowerRoman"/>
      <w:lvlText w:val="(%1)"/>
      <w:lvlJc w:val="left"/>
      <w:pPr>
        <w:ind w:left="776" w:hanging="360"/>
      </w:pPr>
      <w:rPr>
        <w:rFonts w:hint="default"/>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2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CD5B1C"/>
    <w:multiLevelType w:val="hybridMultilevel"/>
    <w:tmpl w:val="FFFFFFFF"/>
    <w:lvl w:ilvl="0" w:tplc="9A1456DE">
      <w:start w:val="1"/>
      <w:numFmt w:val="lowerLetter"/>
      <w:lvlText w:val="(%1)"/>
      <w:lvlJc w:val="left"/>
      <w:pPr>
        <w:ind w:left="720" w:hanging="360"/>
      </w:pPr>
    </w:lvl>
    <w:lvl w:ilvl="1" w:tplc="0F6CEA7A">
      <w:start w:val="1"/>
      <w:numFmt w:val="lowerLetter"/>
      <w:lvlText w:val="%2."/>
      <w:lvlJc w:val="left"/>
      <w:pPr>
        <w:ind w:left="1440" w:hanging="360"/>
      </w:pPr>
    </w:lvl>
    <w:lvl w:ilvl="2" w:tplc="07A6AF92">
      <w:start w:val="1"/>
      <w:numFmt w:val="lowerRoman"/>
      <w:lvlText w:val="%3."/>
      <w:lvlJc w:val="right"/>
      <w:pPr>
        <w:ind w:left="2160" w:hanging="180"/>
      </w:pPr>
    </w:lvl>
    <w:lvl w:ilvl="3" w:tplc="206656A0">
      <w:start w:val="1"/>
      <w:numFmt w:val="decimal"/>
      <w:lvlText w:val="%4."/>
      <w:lvlJc w:val="left"/>
      <w:pPr>
        <w:ind w:left="2880" w:hanging="360"/>
      </w:pPr>
    </w:lvl>
    <w:lvl w:ilvl="4" w:tplc="9C2CB494">
      <w:start w:val="1"/>
      <w:numFmt w:val="lowerLetter"/>
      <w:lvlText w:val="%5."/>
      <w:lvlJc w:val="left"/>
      <w:pPr>
        <w:ind w:left="3600" w:hanging="360"/>
      </w:pPr>
    </w:lvl>
    <w:lvl w:ilvl="5" w:tplc="1BC24D2E">
      <w:start w:val="1"/>
      <w:numFmt w:val="lowerRoman"/>
      <w:lvlText w:val="%6."/>
      <w:lvlJc w:val="right"/>
      <w:pPr>
        <w:ind w:left="4320" w:hanging="180"/>
      </w:pPr>
    </w:lvl>
    <w:lvl w:ilvl="6" w:tplc="50C02D76">
      <w:start w:val="1"/>
      <w:numFmt w:val="decimal"/>
      <w:lvlText w:val="%7."/>
      <w:lvlJc w:val="left"/>
      <w:pPr>
        <w:ind w:left="5040" w:hanging="360"/>
      </w:pPr>
    </w:lvl>
    <w:lvl w:ilvl="7" w:tplc="88406BD0">
      <w:start w:val="1"/>
      <w:numFmt w:val="lowerLetter"/>
      <w:lvlText w:val="%8."/>
      <w:lvlJc w:val="left"/>
      <w:pPr>
        <w:ind w:left="5760" w:hanging="360"/>
      </w:pPr>
    </w:lvl>
    <w:lvl w:ilvl="8" w:tplc="A07E9B20">
      <w:start w:val="1"/>
      <w:numFmt w:val="lowerRoman"/>
      <w:lvlText w:val="%9."/>
      <w:lvlJc w:val="right"/>
      <w:pPr>
        <w:ind w:left="6480" w:hanging="180"/>
      </w:pPr>
    </w:lvl>
  </w:abstractNum>
  <w:abstractNum w:abstractNumId="30" w15:restartNumberingAfterBreak="0">
    <w:nsid w:val="6C181079"/>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1" w15:restartNumberingAfterBreak="0">
    <w:nsid w:val="73A84913"/>
    <w:multiLevelType w:val="hybridMultilevel"/>
    <w:tmpl w:val="22BE43A4"/>
    <w:lvl w:ilvl="0" w:tplc="4EB03898">
      <w:start w:val="1"/>
      <w:numFmt w:val="decimal"/>
      <w:lvlText w:val="%1)"/>
      <w:lvlJc w:val="left"/>
      <w:pPr>
        <w:ind w:left="1080" w:hanging="360"/>
      </w:pPr>
    </w:lvl>
    <w:lvl w:ilvl="1" w:tplc="8F2E66A8">
      <w:start w:val="1"/>
      <w:numFmt w:val="decimal"/>
      <w:lvlText w:val="%2)"/>
      <w:lvlJc w:val="left"/>
      <w:pPr>
        <w:ind w:left="1080" w:hanging="360"/>
      </w:pPr>
    </w:lvl>
    <w:lvl w:ilvl="2" w:tplc="B5A071FA">
      <w:start w:val="1"/>
      <w:numFmt w:val="decimal"/>
      <w:lvlText w:val="%3)"/>
      <w:lvlJc w:val="left"/>
      <w:pPr>
        <w:ind w:left="1080" w:hanging="360"/>
      </w:pPr>
    </w:lvl>
    <w:lvl w:ilvl="3" w:tplc="ECFAD71E">
      <w:start w:val="1"/>
      <w:numFmt w:val="decimal"/>
      <w:lvlText w:val="%4)"/>
      <w:lvlJc w:val="left"/>
      <w:pPr>
        <w:ind w:left="1080" w:hanging="360"/>
      </w:pPr>
    </w:lvl>
    <w:lvl w:ilvl="4" w:tplc="303E100A">
      <w:start w:val="1"/>
      <w:numFmt w:val="decimal"/>
      <w:lvlText w:val="%5)"/>
      <w:lvlJc w:val="left"/>
      <w:pPr>
        <w:ind w:left="1080" w:hanging="360"/>
      </w:pPr>
    </w:lvl>
    <w:lvl w:ilvl="5" w:tplc="A2203B64">
      <w:start w:val="1"/>
      <w:numFmt w:val="decimal"/>
      <w:lvlText w:val="%6)"/>
      <w:lvlJc w:val="left"/>
      <w:pPr>
        <w:ind w:left="1080" w:hanging="360"/>
      </w:pPr>
    </w:lvl>
    <w:lvl w:ilvl="6" w:tplc="B9E2BC46">
      <w:start w:val="1"/>
      <w:numFmt w:val="decimal"/>
      <w:lvlText w:val="%7)"/>
      <w:lvlJc w:val="left"/>
      <w:pPr>
        <w:ind w:left="1080" w:hanging="360"/>
      </w:pPr>
    </w:lvl>
    <w:lvl w:ilvl="7" w:tplc="7534BDE2">
      <w:start w:val="1"/>
      <w:numFmt w:val="decimal"/>
      <w:lvlText w:val="%8)"/>
      <w:lvlJc w:val="left"/>
      <w:pPr>
        <w:ind w:left="1080" w:hanging="360"/>
      </w:pPr>
    </w:lvl>
    <w:lvl w:ilvl="8" w:tplc="06041056">
      <w:start w:val="1"/>
      <w:numFmt w:val="decimal"/>
      <w:lvlText w:val="%9)"/>
      <w:lvlJc w:val="left"/>
      <w:pPr>
        <w:ind w:left="1080" w:hanging="360"/>
      </w:pPr>
    </w:lvl>
  </w:abstractNum>
  <w:abstractNum w:abstractNumId="3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D082002"/>
    <w:multiLevelType w:val="hybridMultilevel"/>
    <w:tmpl w:val="FFFFFFFF"/>
    <w:lvl w:ilvl="0" w:tplc="8D185A36">
      <w:start w:val="1"/>
      <w:numFmt w:val="bullet"/>
      <w:pStyle w:val="Bullet"/>
      <w:lvlText w:val="•"/>
      <w:lvlJc w:val="left"/>
      <w:pPr>
        <w:ind w:left="284" w:hanging="284"/>
      </w:pPr>
      <w:rPr>
        <w:rFonts w:ascii="Times New Roman" w:hAnsi="Times New Roman" w:hint="default"/>
      </w:rPr>
    </w:lvl>
    <w:lvl w:ilvl="1" w:tplc="527A7AA2">
      <w:start w:val="1"/>
      <w:numFmt w:val="bullet"/>
      <w:lvlText w:val="o"/>
      <w:lvlJc w:val="left"/>
      <w:pPr>
        <w:ind w:left="1440" w:hanging="360"/>
      </w:pPr>
      <w:rPr>
        <w:rFonts w:ascii="Courier New" w:hAnsi="Courier New" w:hint="default"/>
      </w:rPr>
    </w:lvl>
    <w:lvl w:ilvl="2" w:tplc="133AD63A">
      <w:start w:val="1"/>
      <w:numFmt w:val="bullet"/>
      <w:lvlText w:val=""/>
      <w:lvlJc w:val="left"/>
      <w:pPr>
        <w:ind w:left="2160" w:hanging="360"/>
      </w:pPr>
      <w:rPr>
        <w:rFonts w:ascii="Wingdings" w:hAnsi="Wingdings" w:hint="default"/>
      </w:rPr>
    </w:lvl>
    <w:lvl w:ilvl="3" w:tplc="1EA85304">
      <w:start w:val="1"/>
      <w:numFmt w:val="bullet"/>
      <w:lvlText w:val=""/>
      <w:lvlJc w:val="left"/>
      <w:pPr>
        <w:ind w:left="2880" w:hanging="360"/>
      </w:pPr>
      <w:rPr>
        <w:rFonts w:ascii="Symbol" w:hAnsi="Symbol" w:hint="default"/>
      </w:rPr>
    </w:lvl>
    <w:lvl w:ilvl="4" w:tplc="1FDA61A6">
      <w:start w:val="1"/>
      <w:numFmt w:val="bullet"/>
      <w:lvlText w:val="o"/>
      <w:lvlJc w:val="left"/>
      <w:pPr>
        <w:ind w:left="3600" w:hanging="360"/>
      </w:pPr>
      <w:rPr>
        <w:rFonts w:ascii="Courier New" w:hAnsi="Courier New" w:hint="default"/>
      </w:rPr>
    </w:lvl>
    <w:lvl w:ilvl="5" w:tplc="8CAAF228">
      <w:start w:val="1"/>
      <w:numFmt w:val="bullet"/>
      <w:lvlText w:val=""/>
      <w:lvlJc w:val="left"/>
      <w:pPr>
        <w:ind w:left="4320" w:hanging="360"/>
      </w:pPr>
      <w:rPr>
        <w:rFonts w:ascii="Wingdings" w:hAnsi="Wingdings" w:hint="default"/>
      </w:rPr>
    </w:lvl>
    <w:lvl w:ilvl="6" w:tplc="877E750E">
      <w:start w:val="1"/>
      <w:numFmt w:val="bullet"/>
      <w:lvlText w:val=""/>
      <w:lvlJc w:val="left"/>
      <w:pPr>
        <w:ind w:left="5040" w:hanging="360"/>
      </w:pPr>
      <w:rPr>
        <w:rFonts w:ascii="Symbol" w:hAnsi="Symbol" w:hint="default"/>
      </w:rPr>
    </w:lvl>
    <w:lvl w:ilvl="7" w:tplc="23165FB2">
      <w:start w:val="1"/>
      <w:numFmt w:val="bullet"/>
      <w:lvlText w:val="o"/>
      <w:lvlJc w:val="left"/>
      <w:pPr>
        <w:ind w:left="5760" w:hanging="360"/>
      </w:pPr>
      <w:rPr>
        <w:rFonts w:ascii="Courier New" w:hAnsi="Courier New" w:hint="default"/>
      </w:rPr>
    </w:lvl>
    <w:lvl w:ilvl="8" w:tplc="CC08F1E4">
      <w:start w:val="1"/>
      <w:numFmt w:val="bullet"/>
      <w:lvlText w:val=""/>
      <w:lvlJc w:val="left"/>
      <w:pPr>
        <w:ind w:left="6480" w:hanging="360"/>
      </w:pPr>
      <w:rPr>
        <w:rFonts w:ascii="Wingdings" w:hAnsi="Wingdings" w:hint="default"/>
      </w:rPr>
    </w:lvl>
  </w:abstractNum>
  <w:abstractNum w:abstractNumId="3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6"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4"/>
  </w:num>
  <w:num w:numId="2" w16cid:durableId="230386874">
    <w:abstractNumId w:val="2"/>
  </w:num>
  <w:num w:numId="3" w16cid:durableId="1716855291">
    <w:abstractNumId w:val="17"/>
  </w:num>
  <w:num w:numId="4" w16cid:durableId="797724066">
    <w:abstractNumId w:val="5"/>
  </w:num>
  <w:num w:numId="5" w16cid:durableId="709110180">
    <w:abstractNumId w:val="7"/>
  </w:num>
  <w:num w:numId="6" w16cid:durableId="306596971">
    <w:abstractNumId w:val="23"/>
  </w:num>
  <w:num w:numId="7" w16cid:durableId="1739129519">
    <w:abstractNumId w:val="1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9"/>
  </w:num>
  <w:num w:numId="9" w16cid:durableId="1591279926">
    <w:abstractNumId w:val="4"/>
  </w:num>
  <w:num w:numId="10" w16cid:durableId="832991063">
    <w:abstractNumId w:val="13"/>
  </w:num>
  <w:num w:numId="11" w16cid:durableId="215508863">
    <w:abstractNumId w:val="35"/>
  </w:num>
  <w:num w:numId="12" w16cid:durableId="2019234066">
    <w:abstractNumId w:val="23"/>
  </w:num>
  <w:num w:numId="13" w16cid:durableId="1757362042">
    <w:abstractNumId w:val="36"/>
  </w:num>
  <w:num w:numId="14" w16cid:durableId="353965158">
    <w:abstractNumId w:val="22"/>
  </w:num>
  <w:num w:numId="15" w16cid:durableId="77220001">
    <w:abstractNumId w:val="12"/>
  </w:num>
  <w:num w:numId="16" w16cid:durableId="626086807">
    <w:abstractNumId w:val="28"/>
  </w:num>
  <w:num w:numId="17" w16cid:durableId="143200778">
    <w:abstractNumId w:val="16"/>
  </w:num>
  <w:num w:numId="18" w16cid:durableId="10540393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5"/>
  </w:num>
  <w:num w:numId="21" w16cid:durableId="525217854">
    <w:abstractNumId w:val="24"/>
  </w:num>
  <w:num w:numId="22" w16cid:durableId="1017973052">
    <w:abstractNumId w:val="6"/>
  </w:num>
  <w:num w:numId="23"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30"/>
  </w:num>
  <w:num w:numId="25" w16cid:durableId="1198618205">
    <w:abstractNumId w:val="10"/>
  </w:num>
  <w:num w:numId="26" w16cid:durableId="94521004">
    <w:abstractNumId w:val="25"/>
  </w:num>
  <w:num w:numId="27" w16cid:durableId="2117795940">
    <w:abstractNumId w:val="1"/>
  </w:num>
  <w:num w:numId="28" w16cid:durableId="765271115">
    <w:abstractNumId w:val="3"/>
  </w:num>
  <w:num w:numId="29" w16cid:durableId="235211413">
    <w:abstractNumId w:val="11"/>
  </w:num>
  <w:num w:numId="30" w16cid:durableId="740952692">
    <w:abstractNumId w:val="21"/>
  </w:num>
  <w:num w:numId="31" w16cid:durableId="929391294">
    <w:abstractNumId w:val="31"/>
  </w:num>
  <w:num w:numId="32" w16cid:durableId="1334335221">
    <w:abstractNumId w:val="0"/>
  </w:num>
  <w:num w:numId="33" w16cid:durableId="681515477">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446558">
    <w:abstractNumId w:val="26"/>
  </w:num>
  <w:num w:numId="35" w16cid:durableId="735788676">
    <w:abstractNumId w:val="18"/>
  </w:num>
  <w:num w:numId="36" w16cid:durableId="20428952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2702162">
    <w:abstractNumId w:val="27"/>
  </w:num>
  <w:num w:numId="38" w16cid:durableId="303975245">
    <w:abstractNumId w:val="20"/>
  </w:num>
  <w:num w:numId="39" w16cid:durableId="1641110051">
    <w:abstractNumId w:val="19"/>
  </w:num>
  <w:num w:numId="40" w16cid:durableId="1061364253">
    <w:abstractNumId w:val="33"/>
  </w:num>
  <w:num w:numId="41" w16cid:durableId="17758580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True"/>
    <w:docVar w:name="SecurityClassificationInHeader" w:val="False"/>
    <w:docVar w:name="SecurityDLMInHeader" w:val="False"/>
  </w:docVars>
  <w:rsids>
    <w:rsidRoot w:val="00073521"/>
    <w:rsid w:val="00000386"/>
    <w:rsid w:val="00000695"/>
    <w:rsid w:val="000006FF"/>
    <w:rsid w:val="00000AA2"/>
    <w:rsid w:val="00000B20"/>
    <w:rsid w:val="00000BBB"/>
    <w:rsid w:val="00000BDD"/>
    <w:rsid w:val="00000D27"/>
    <w:rsid w:val="00000E79"/>
    <w:rsid w:val="00000E88"/>
    <w:rsid w:val="00000E8B"/>
    <w:rsid w:val="00000EB4"/>
    <w:rsid w:val="00000F21"/>
    <w:rsid w:val="00000FBE"/>
    <w:rsid w:val="0000120E"/>
    <w:rsid w:val="000012A1"/>
    <w:rsid w:val="000016F6"/>
    <w:rsid w:val="0000170F"/>
    <w:rsid w:val="000019EF"/>
    <w:rsid w:val="00001AFB"/>
    <w:rsid w:val="00001B17"/>
    <w:rsid w:val="00001B9B"/>
    <w:rsid w:val="00001BD2"/>
    <w:rsid w:val="00001DB6"/>
    <w:rsid w:val="00001DD0"/>
    <w:rsid w:val="00001FBB"/>
    <w:rsid w:val="00002016"/>
    <w:rsid w:val="000020C9"/>
    <w:rsid w:val="00002421"/>
    <w:rsid w:val="0000246D"/>
    <w:rsid w:val="00002586"/>
    <w:rsid w:val="000025EC"/>
    <w:rsid w:val="0000276B"/>
    <w:rsid w:val="00002829"/>
    <w:rsid w:val="00002839"/>
    <w:rsid w:val="00002BBA"/>
    <w:rsid w:val="00003012"/>
    <w:rsid w:val="000030F8"/>
    <w:rsid w:val="00003467"/>
    <w:rsid w:val="0000356C"/>
    <w:rsid w:val="00003601"/>
    <w:rsid w:val="00003D03"/>
    <w:rsid w:val="00003DBC"/>
    <w:rsid w:val="00003E2E"/>
    <w:rsid w:val="00004029"/>
    <w:rsid w:val="0000406C"/>
    <w:rsid w:val="0000437B"/>
    <w:rsid w:val="0000441A"/>
    <w:rsid w:val="00004470"/>
    <w:rsid w:val="0000468F"/>
    <w:rsid w:val="00004699"/>
    <w:rsid w:val="00004DC1"/>
    <w:rsid w:val="00004DDB"/>
    <w:rsid w:val="00004DFD"/>
    <w:rsid w:val="00004EBD"/>
    <w:rsid w:val="00004FEC"/>
    <w:rsid w:val="00005426"/>
    <w:rsid w:val="00005482"/>
    <w:rsid w:val="00005519"/>
    <w:rsid w:val="000055D3"/>
    <w:rsid w:val="000055E7"/>
    <w:rsid w:val="000059B4"/>
    <w:rsid w:val="00005C55"/>
    <w:rsid w:val="000060BC"/>
    <w:rsid w:val="000062FB"/>
    <w:rsid w:val="00006337"/>
    <w:rsid w:val="00006608"/>
    <w:rsid w:val="000069FA"/>
    <w:rsid w:val="00006B54"/>
    <w:rsid w:val="00006B7F"/>
    <w:rsid w:val="0000707A"/>
    <w:rsid w:val="0000735B"/>
    <w:rsid w:val="0000774E"/>
    <w:rsid w:val="0000798F"/>
    <w:rsid w:val="00007CE5"/>
    <w:rsid w:val="00007DFA"/>
    <w:rsid w:val="00007E53"/>
    <w:rsid w:val="00007E6F"/>
    <w:rsid w:val="000101B1"/>
    <w:rsid w:val="000102DD"/>
    <w:rsid w:val="00010380"/>
    <w:rsid w:val="00010864"/>
    <w:rsid w:val="00010930"/>
    <w:rsid w:val="00010A2E"/>
    <w:rsid w:val="00010B6F"/>
    <w:rsid w:val="00010D97"/>
    <w:rsid w:val="00010E9C"/>
    <w:rsid w:val="00010ECE"/>
    <w:rsid w:val="00010F40"/>
    <w:rsid w:val="00010FF9"/>
    <w:rsid w:val="00011047"/>
    <w:rsid w:val="000110FD"/>
    <w:rsid w:val="0001143D"/>
    <w:rsid w:val="00011691"/>
    <w:rsid w:val="000116F8"/>
    <w:rsid w:val="000116FA"/>
    <w:rsid w:val="00011725"/>
    <w:rsid w:val="0001186E"/>
    <w:rsid w:val="00011B9E"/>
    <w:rsid w:val="00011C6E"/>
    <w:rsid w:val="00011F88"/>
    <w:rsid w:val="0001200E"/>
    <w:rsid w:val="0001221B"/>
    <w:rsid w:val="00012479"/>
    <w:rsid w:val="000128C6"/>
    <w:rsid w:val="000128CE"/>
    <w:rsid w:val="000128D5"/>
    <w:rsid w:val="0001296B"/>
    <w:rsid w:val="00012974"/>
    <w:rsid w:val="00012B54"/>
    <w:rsid w:val="00012C62"/>
    <w:rsid w:val="00012CA0"/>
    <w:rsid w:val="00012D5F"/>
    <w:rsid w:val="0001301F"/>
    <w:rsid w:val="0001310E"/>
    <w:rsid w:val="00013493"/>
    <w:rsid w:val="00013962"/>
    <w:rsid w:val="0001396A"/>
    <w:rsid w:val="00013A86"/>
    <w:rsid w:val="00013AD0"/>
    <w:rsid w:val="00013C63"/>
    <w:rsid w:val="00013E74"/>
    <w:rsid w:val="0001407C"/>
    <w:rsid w:val="00014990"/>
    <w:rsid w:val="00014A0D"/>
    <w:rsid w:val="00014C0C"/>
    <w:rsid w:val="00014F23"/>
    <w:rsid w:val="0001510A"/>
    <w:rsid w:val="0001520C"/>
    <w:rsid w:val="000153B0"/>
    <w:rsid w:val="0001549B"/>
    <w:rsid w:val="00015503"/>
    <w:rsid w:val="00015976"/>
    <w:rsid w:val="000159B4"/>
    <w:rsid w:val="00015BC2"/>
    <w:rsid w:val="00015C2A"/>
    <w:rsid w:val="00015CA0"/>
    <w:rsid w:val="00015DF2"/>
    <w:rsid w:val="00015E33"/>
    <w:rsid w:val="00015FE4"/>
    <w:rsid w:val="00016368"/>
    <w:rsid w:val="0001665C"/>
    <w:rsid w:val="000166BE"/>
    <w:rsid w:val="00016720"/>
    <w:rsid w:val="00016A55"/>
    <w:rsid w:val="00016A94"/>
    <w:rsid w:val="00016BBB"/>
    <w:rsid w:val="00016BC1"/>
    <w:rsid w:val="00016E4D"/>
    <w:rsid w:val="00017787"/>
    <w:rsid w:val="00017A0D"/>
    <w:rsid w:val="00017B68"/>
    <w:rsid w:val="00017E39"/>
    <w:rsid w:val="00017F70"/>
    <w:rsid w:val="000200A9"/>
    <w:rsid w:val="0002053B"/>
    <w:rsid w:val="00020665"/>
    <w:rsid w:val="0002073E"/>
    <w:rsid w:val="00020BE6"/>
    <w:rsid w:val="00020E0A"/>
    <w:rsid w:val="00021647"/>
    <w:rsid w:val="000217C0"/>
    <w:rsid w:val="000217C2"/>
    <w:rsid w:val="00021B4A"/>
    <w:rsid w:val="00021C3D"/>
    <w:rsid w:val="00021E1D"/>
    <w:rsid w:val="00021ED8"/>
    <w:rsid w:val="000220D9"/>
    <w:rsid w:val="00022117"/>
    <w:rsid w:val="00022233"/>
    <w:rsid w:val="00022424"/>
    <w:rsid w:val="00022450"/>
    <w:rsid w:val="000224B5"/>
    <w:rsid w:val="000225D5"/>
    <w:rsid w:val="00022693"/>
    <w:rsid w:val="00022735"/>
    <w:rsid w:val="0002274D"/>
    <w:rsid w:val="0002277E"/>
    <w:rsid w:val="0002283B"/>
    <w:rsid w:val="00022868"/>
    <w:rsid w:val="00022943"/>
    <w:rsid w:val="00022A1D"/>
    <w:rsid w:val="00022E89"/>
    <w:rsid w:val="00022EA8"/>
    <w:rsid w:val="000232A7"/>
    <w:rsid w:val="000232BB"/>
    <w:rsid w:val="000236B5"/>
    <w:rsid w:val="000237CC"/>
    <w:rsid w:val="000238FB"/>
    <w:rsid w:val="00023A5E"/>
    <w:rsid w:val="00023B06"/>
    <w:rsid w:val="00023C32"/>
    <w:rsid w:val="00024222"/>
    <w:rsid w:val="00024657"/>
    <w:rsid w:val="000246BD"/>
    <w:rsid w:val="00024774"/>
    <w:rsid w:val="00024A7E"/>
    <w:rsid w:val="00024E1C"/>
    <w:rsid w:val="00024FA7"/>
    <w:rsid w:val="0002503B"/>
    <w:rsid w:val="000251C5"/>
    <w:rsid w:val="000252D0"/>
    <w:rsid w:val="0002544D"/>
    <w:rsid w:val="00025504"/>
    <w:rsid w:val="00025511"/>
    <w:rsid w:val="0002564C"/>
    <w:rsid w:val="00025A2C"/>
    <w:rsid w:val="00025C28"/>
    <w:rsid w:val="00025C58"/>
    <w:rsid w:val="00025CBA"/>
    <w:rsid w:val="00025EB7"/>
    <w:rsid w:val="00025FBC"/>
    <w:rsid w:val="00026002"/>
    <w:rsid w:val="00026120"/>
    <w:rsid w:val="00026187"/>
    <w:rsid w:val="000261B6"/>
    <w:rsid w:val="00026239"/>
    <w:rsid w:val="000263A8"/>
    <w:rsid w:val="000266CE"/>
    <w:rsid w:val="0002680A"/>
    <w:rsid w:val="00026895"/>
    <w:rsid w:val="00026908"/>
    <w:rsid w:val="000269BD"/>
    <w:rsid w:val="00026AB1"/>
    <w:rsid w:val="0002723F"/>
    <w:rsid w:val="0002731D"/>
    <w:rsid w:val="0002736D"/>
    <w:rsid w:val="00027740"/>
    <w:rsid w:val="00027766"/>
    <w:rsid w:val="00027778"/>
    <w:rsid w:val="000279A3"/>
    <w:rsid w:val="00027CE4"/>
    <w:rsid w:val="00027CFF"/>
    <w:rsid w:val="00030357"/>
    <w:rsid w:val="00030383"/>
    <w:rsid w:val="000305B4"/>
    <w:rsid w:val="00030648"/>
    <w:rsid w:val="000306F2"/>
    <w:rsid w:val="000309A6"/>
    <w:rsid w:val="00030D8B"/>
    <w:rsid w:val="00030D8F"/>
    <w:rsid w:val="00030DFF"/>
    <w:rsid w:val="00030E3F"/>
    <w:rsid w:val="0003137F"/>
    <w:rsid w:val="000317FA"/>
    <w:rsid w:val="00031933"/>
    <w:rsid w:val="0003194E"/>
    <w:rsid w:val="00031B9F"/>
    <w:rsid w:val="00031BF9"/>
    <w:rsid w:val="00031CBA"/>
    <w:rsid w:val="00031E07"/>
    <w:rsid w:val="00031FFE"/>
    <w:rsid w:val="00032146"/>
    <w:rsid w:val="00032360"/>
    <w:rsid w:val="00032503"/>
    <w:rsid w:val="00032718"/>
    <w:rsid w:val="00032741"/>
    <w:rsid w:val="00032792"/>
    <w:rsid w:val="000327AC"/>
    <w:rsid w:val="000327DA"/>
    <w:rsid w:val="000328D0"/>
    <w:rsid w:val="000328DD"/>
    <w:rsid w:val="00032A38"/>
    <w:rsid w:val="00032ACF"/>
    <w:rsid w:val="00032AF4"/>
    <w:rsid w:val="00032BA3"/>
    <w:rsid w:val="00032D9D"/>
    <w:rsid w:val="0003317E"/>
    <w:rsid w:val="000334FC"/>
    <w:rsid w:val="0003388B"/>
    <w:rsid w:val="00033938"/>
    <w:rsid w:val="00033B40"/>
    <w:rsid w:val="00033F3B"/>
    <w:rsid w:val="00034159"/>
    <w:rsid w:val="000341B0"/>
    <w:rsid w:val="000341D9"/>
    <w:rsid w:val="00034426"/>
    <w:rsid w:val="000345D9"/>
    <w:rsid w:val="00034D25"/>
    <w:rsid w:val="00034EBF"/>
    <w:rsid w:val="00034FFA"/>
    <w:rsid w:val="0003501E"/>
    <w:rsid w:val="0003507D"/>
    <w:rsid w:val="00035422"/>
    <w:rsid w:val="000355E7"/>
    <w:rsid w:val="00035748"/>
    <w:rsid w:val="000358F8"/>
    <w:rsid w:val="00035D9E"/>
    <w:rsid w:val="00035FC9"/>
    <w:rsid w:val="00036461"/>
    <w:rsid w:val="000366E0"/>
    <w:rsid w:val="00036945"/>
    <w:rsid w:val="0003698D"/>
    <w:rsid w:val="00036D7E"/>
    <w:rsid w:val="000370E7"/>
    <w:rsid w:val="0003717F"/>
    <w:rsid w:val="0003734D"/>
    <w:rsid w:val="00037490"/>
    <w:rsid w:val="000374C3"/>
    <w:rsid w:val="0003779B"/>
    <w:rsid w:val="000379AA"/>
    <w:rsid w:val="00037A2D"/>
    <w:rsid w:val="00037B46"/>
    <w:rsid w:val="00037CC6"/>
    <w:rsid w:val="00037F5F"/>
    <w:rsid w:val="00037FFA"/>
    <w:rsid w:val="00040014"/>
    <w:rsid w:val="0004020A"/>
    <w:rsid w:val="000402D9"/>
    <w:rsid w:val="000405C3"/>
    <w:rsid w:val="00040691"/>
    <w:rsid w:val="0004095C"/>
    <w:rsid w:val="000409F5"/>
    <w:rsid w:val="00040C03"/>
    <w:rsid w:val="000414D7"/>
    <w:rsid w:val="00041543"/>
    <w:rsid w:val="000416F3"/>
    <w:rsid w:val="000417C3"/>
    <w:rsid w:val="0004180D"/>
    <w:rsid w:val="00041A5E"/>
    <w:rsid w:val="00041CB9"/>
    <w:rsid w:val="00041D42"/>
    <w:rsid w:val="00041FBD"/>
    <w:rsid w:val="0004230E"/>
    <w:rsid w:val="0004236C"/>
    <w:rsid w:val="0004249C"/>
    <w:rsid w:val="000424BF"/>
    <w:rsid w:val="000426F8"/>
    <w:rsid w:val="0004273E"/>
    <w:rsid w:val="0004274D"/>
    <w:rsid w:val="000427E9"/>
    <w:rsid w:val="000428CC"/>
    <w:rsid w:val="000429EA"/>
    <w:rsid w:val="00042BA5"/>
    <w:rsid w:val="00042BAA"/>
    <w:rsid w:val="00042C3E"/>
    <w:rsid w:val="00042D27"/>
    <w:rsid w:val="00043035"/>
    <w:rsid w:val="0004311C"/>
    <w:rsid w:val="00043140"/>
    <w:rsid w:val="00043348"/>
    <w:rsid w:val="000433F9"/>
    <w:rsid w:val="000434B2"/>
    <w:rsid w:val="0004354E"/>
    <w:rsid w:val="000435C1"/>
    <w:rsid w:val="000438C0"/>
    <w:rsid w:val="00043941"/>
    <w:rsid w:val="00043C48"/>
    <w:rsid w:val="00043CED"/>
    <w:rsid w:val="00043D46"/>
    <w:rsid w:val="00043DC9"/>
    <w:rsid w:val="00043E61"/>
    <w:rsid w:val="00044008"/>
    <w:rsid w:val="000440BF"/>
    <w:rsid w:val="000440F8"/>
    <w:rsid w:val="00044173"/>
    <w:rsid w:val="000442DB"/>
    <w:rsid w:val="00044519"/>
    <w:rsid w:val="000445AC"/>
    <w:rsid w:val="000446EA"/>
    <w:rsid w:val="0004483F"/>
    <w:rsid w:val="00044982"/>
    <w:rsid w:val="0004499F"/>
    <w:rsid w:val="00044A69"/>
    <w:rsid w:val="00044C80"/>
    <w:rsid w:val="00044C89"/>
    <w:rsid w:val="00044E07"/>
    <w:rsid w:val="00044E41"/>
    <w:rsid w:val="00044E57"/>
    <w:rsid w:val="000452EF"/>
    <w:rsid w:val="000453D2"/>
    <w:rsid w:val="0004540B"/>
    <w:rsid w:val="0004552B"/>
    <w:rsid w:val="0004556B"/>
    <w:rsid w:val="0004558E"/>
    <w:rsid w:val="00045611"/>
    <w:rsid w:val="00045682"/>
    <w:rsid w:val="000458A4"/>
    <w:rsid w:val="00045C80"/>
    <w:rsid w:val="00045CD7"/>
    <w:rsid w:val="00045D52"/>
    <w:rsid w:val="00045F15"/>
    <w:rsid w:val="00045F9D"/>
    <w:rsid w:val="00046005"/>
    <w:rsid w:val="00046025"/>
    <w:rsid w:val="00046053"/>
    <w:rsid w:val="000460E8"/>
    <w:rsid w:val="000461A0"/>
    <w:rsid w:val="00046216"/>
    <w:rsid w:val="00046437"/>
    <w:rsid w:val="000465C6"/>
    <w:rsid w:val="000469DA"/>
    <w:rsid w:val="00046BF6"/>
    <w:rsid w:val="00046BF9"/>
    <w:rsid w:val="00046CB4"/>
    <w:rsid w:val="00046E3C"/>
    <w:rsid w:val="000472CA"/>
    <w:rsid w:val="000472F3"/>
    <w:rsid w:val="000473B0"/>
    <w:rsid w:val="000473FD"/>
    <w:rsid w:val="00047533"/>
    <w:rsid w:val="000475BD"/>
    <w:rsid w:val="000476F2"/>
    <w:rsid w:val="000477BA"/>
    <w:rsid w:val="00047804"/>
    <w:rsid w:val="00047998"/>
    <w:rsid w:val="00047C2A"/>
    <w:rsid w:val="00050098"/>
    <w:rsid w:val="000501E6"/>
    <w:rsid w:val="000501F6"/>
    <w:rsid w:val="00050533"/>
    <w:rsid w:val="00050674"/>
    <w:rsid w:val="0005086B"/>
    <w:rsid w:val="0005094D"/>
    <w:rsid w:val="00050A1F"/>
    <w:rsid w:val="00050B06"/>
    <w:rsid w:val="00050D8B"/>
    <w:rsid w:val="00050E01"/>
    <w:rsid w:val="00050F31"/>
    <w:rsid w:val="000510E2"/>
    <w:rsid w:val="00051157"/>
    <w:rsid w:val="0005138B"/>
    <w:rsid w:val="000516A5"/>
    <w:rsid w:val="000516CC"/>
    <w:rsid w:val="00051D74"/>
    <w:rsid w:val="00051EB4"/>
    <w:rsid w:val="00051EB9"/>
    <w:rsid w:val="00051EF0"/>
    <w:rsid w:val="00052036"/>
    <w:rsid w:val="0005203D"/>
    <w:rsid w:val="00052245"/>
    <w:rsid w:val="000522B7"/>
    <w:rsid w:val="0005233F"/>
    <w:rsid w:val="0005242A"/>
    <w:rsid w:val="00052590"/>
    <w:rsid w:val="00052601"/>
    <w:rsid w:val="00052623"/>
    <w:rsid w:val="00052837"/>
    <w:rsid w:val="00052876"/>
    <w:rsid w:val="000529B7"/>
    <w:rsid w:val="00052A78"/>
    <w:rsid w:val="00052A7D"/>
    <w:rsid w:val="00052AC4"/>
    <w:rsid w:val="00052B81"/>
    <w:rsid w:val="00052D06"/>
    <w:rsid w:val="00052ED1"/>
    <w:rsid w:val="00052FAE"/>
    <w:rsid w:val="00053056"/>
    <w:rsid w:val="000532A1"/>
    <w:rsid w:val="000532C0"/>
    <w:rsid w:val="00053667"/>
    <w:rsid w:val="00053717"/>
    <w:rsid w:val="00053910"/>
    <w:rsid w:val="00053AC9"/>
    <w:rsid w:val="000540D9"/>
    <w:rsid w:val="0005436C"/>
    <w:rsid w:val="000543A0"/>
    <w:rsid w:val="00054729"/>
    <w:rsid w:val="0005496B"/>
    <w:rsid w:val="00054A70"/>
    <w:rsid w:val="00054AB7"/>
    <w:rsid w:val="00054B84"/>
    <w:rsid w:val="00054BB2"/>
    <w:rsid w:val="00054BF4"/>
    <w:rsid w:val="000551F3"/>
    <w:rsid w:val="00055405"/>
    <w:rsid w:val="0005585F"/>
    <w:rsid w:val="000558B9"/>
    <w:rsid w:val="00055997"/>
    <w:rsid w:val="00055B3B"/>
    <w:rsid w:val="00055BD2"/>
    <w:rsid w:val="00055D29"/>
    <w:rsid w:val="00055D4B"/>
    <w:rsid w:val="00055EC9"/>
    <w:rsid w:val="00056052"/>
    <w:rsid w:val="000565C6"/>
    <w:rsid w:val="00056690"/>
    <w:rsid w:val="0005682D"/>
    <w:rsid w:val="00056880"/>
    <w:rsid w:val="000568B4"/>
    <w:rsid w:val="000568ED"/>
    <w:rsid w:val="00056909"/>
    <w:rsid w:val="00056C56"/>
    <w:rsid w:val="00056C97"/>
    <w:rsid w:val="00056F44"/>
    <w:rsid w:val="00057117"/>
    <w:rsid w:val="00057170"/>
    <w:rsid w:val="00057225"/>
    <w:rsid w:val="00057233"/>
    <w:rsid w:val="00057271"/>
    <w:rsid w:val="000572B4"/>
    <w:rsid w:val="00057494"/>
    <w:rsid w:val="0005749B"/>
    <w:rsid w:val="000576BC"/>
    <w:rsid w:val="0005797B"/>
    <w:rsid w:val="0005799C"/>
    <w:rsid w:val="00057C8C"/>
    <w:rsid w:val="00057EAB"/>
    <w:rsid w:val="00057FAC"/>
    <w:rsid w:val="000601AA"/>
    <w:rsid w:val="0006034C"/>
    <w:rsid w:val="0006035E"/>
    <w:rsid w:val="000603E6"/>
    <w:rsid w:val="000603EA"/>
    <w:rsid w:val="000605BE"/>
    <w:rsid w:val="00060A5F"/>
    <w:rsid w:val="00060CBA"/>
    <w:rsid w:val="0006102A"/>
    <w:rsid w:val="00061306"/>
    <w:rsid w:val="0006157D"/>
    <w:rsid w:val="00061790"/>
    <w:rsid w:val="00061927"/>
    <w:rsid w:val="00061DA6"/>
    <w:rsid w:val="00062144"/>
    <w:rsid w:val="0006257F"/>
    <w:rsid w:val="000625FE"/>
    <w:rsid w:val="00062630"/>
    <w:rsid w:val="00062AAE"/>
    <w:rsid w:val="00062C0B"/>
    <w:rsid w:val="00062C43"/>
    <w:rsid w:val="00062D68"/>
    <w:rsid w:val="00062DB5"/>
    <w:rsid w:val="00063035"/>
    <w:rsid w:val="00063088"/>
    <w:rsid w:val="000633A8"/>
    <w:rsid w:val="000633D3"/>
    <w:rsid w:val="000636EE"/>
    <w:rsid w:val="0006375E"/>
    <w:rsid w:val="00063924"/>
    <w:rsid w:val="000639E9"/>
    <w:rsid w:val="00063F2D"/>
    <w:rsid w:val="00064380"/>
    <w:rsid w:val="00064467"/>
    <w:rsid w:val="00064562"/>
    <w:rsid w:val="00064717"/>
    <w:rsid w:val="0006477A"/>
    <w:rsid w:val="000648B2"/>
    <w:rsid w:val="00064AE0"/>
    <w:rsid w:val="00064B14"/>
    <w:rsid w:val="00064B3A"/>
    <w:rsid w:val="00064B8D"/>
    <w:rsid w:val="00064D3A"/>
    <w:rsid w:val="00065018"/>
    <w:rsid w:val="000650C5"/>
    <w:rsid w:val="000653A2"/>
    <w:rsid w:val="000653D9"/>
    <w:rsid w:val="0006540B"/>
    <w:rsid w:val="00065519"/>
    <w:rsid w:val="00065767"/>
    <w:rsid w:val="00065970"/>
    <w:rsid w:val="00065DA0"/>
    <w:rsid w:val="00066290"/>
    <w:rsid w:val="000662D9"/>
    <w:rsid w:val="000662FD"/>
    <w:rsid w:val="000662FF"/>
    <w:rsid w:val="0006648C"/>
    <w:rsid w:val="000665C7"/>
    <w:rsid w:val="00066748"/>
    <w:rsid w:val="000667BE"/>
    <w:rsid w:val="000667FA"/>
    <w:rsid w:val="00066803"/>
    <w:rsid w:val="0006681D"/>
    <w:rsid w:val="0006696A"/>
    <w:rsid w:val="000669E2"/>
    <w:rsid w:val="00066A7D"/>
    <w:rsid w:val="00066E19"/>
    <w:rsid w:val="00066E3F"/>
    <w:rsid w:val="00066E5B"/>
    <w:rsid w:val="00066E75"/>
    <w:rsid w:val="0006700E"/>
    <w:rsid w:val="00067176"/>
    <w:rsid w:val="00067287"/>
    <w:rsid w:val="0006744F"/>
    <w:rsid w:val="000675D1"/>
    <w:rsid w:val="000676DF"/>
    <w:rsid w:val="000678D5"/>
    <w:rsid w:val="00067A03"/>
    <w:rsid w:val="00067A8A"/>
    <w:rsid w:val="00067C54"/>
    <w:rsid w:val="00067C73"/>
    <w:rsid w:val="00070029"/>
    <w:rsid w:val="00070227"/>
    <w:rsid w:val="000702FD"/>
    <w:rsid w:val="0007053B"/>
    <w:rsid w:val="000707FF"/>
    <w:rsid w:val="00070AC0"/>
    <w:rsid w:val="00070BE3"/>
    <w:rsid w:val="00070C9A"/>
    <w:rsid w:val="00070E99"/>
    <w:rsid w:val="00070FB9"/>
    <w:rsid w:val="00071020"/>
    <w:rsid w:val="00071271"/>
    <w:rsid w:val="0007130F"/>
    <w:rsid w:val="00071540"/>
    <w:rsid w:val="0007168E"/>
    <w:rsid w:val="00071708"/>
    <w:rsid w:val="00071819"/>
    <w:rsid w:val="0007182B"/>
    <w:rsid w:val="000718F1"/>
    <w:rsid w:val="00071C3C"/>
    <w:rsid w:val="00071C84"/>
    <w:rsid w:val="00071FAC"/>
    <w:rsid w:val="00071FF9"/>
    <w:rsid w:val="0007219F"/>
    <w:rsid w:val="00072383"/>
    <w:rsid w:val="0007264E"/>
    <w:rsid w:val="00072719"/>
    <w:rsid w:val="000729FD"/>
    <w:rsid w:val="00072C0B"/>
    <w:rsid w:val="00072CBA"/>
    <w:rsid w:val="00072CD6"/>
    <w:rsid w:val="00072F28"/>
    <w:rsid w:val="00072FE5"/>
    <w:rsid w:val="000730CE"/>
    <w:rsid w:val="000731A9"/>
    <w:rsid w:val="00073202"/>
    <w:rsid w:val="00073226"/>
    <w:rsid w:val="000732BB"/>
    <w:rsid w:val="00073399"/>
    <w:rsid w:val="00073504"/>
    <w:rsid w:val="00073519"/>
    <w:rsid w:val="00073521"/>
    <w:rsid w:val="0007389B"/>
    <w:rsid w:val="000739A6"/>
    <w:rsid w:val="00073B2D"/>
    <w:rsid w:val="00073E3D"/>
    <w:rsid w:val="00073F09"/>
    <w:rsid w:val="000740AC"/>
    <w:rsid w:val="000740FD"/>
    <w:rsid w:val="00074160"/>
    <w:rsid w:val="000741C3"/>
    <w:rsid w:val="000741D7"/>
    <w:rsid w:val="0007439C"/>
    <w:rsid w:val="00074497"/>
    <w:rsid w:val="0007483A"/>
    <w:rsid w:val="00074B13"/>
    <w:rsid w:val="00074B9D"/>
    <w:rsid w:val="00074C8B"/>
    <w:rsid w:val="00074C9E"/>
    <w:rsid w:val="00074D19"/>
    <w:rsid w:val="00074E4E"/>
    <w:rsid w:val="00074F12"/>
    <w:rsid w:val="000754DD"/>
    <w:rsid w:val="000755AF"/>
    <w:rsid w:val="0007571A"/>
    <w:rsid w:val="00075751"/>
    <w:rsid w:val="00075754"/>
    <w:rsid w:val="00075DFA"/>
    <w:rsid w:val="00075F59"/>
    <w:rsid w:val="00076048"/>
    <w:rsid w:val="0007647C"/>
    <w:rsid w:val="00076910"/>
    <w:rsid w:val="00076986"/>
    <w:rsid w:val="000769F1"/>
    <w:rsid w:val="00076D04"/>
    <w:rsid w:val="00076D8F"/>
    <w:rsid w:val="000770EC"/>
    <w:rsid w:val="000771B5"/>
    <w:rsid w:val="00077373"/>
    <w:rsid w:val="00077391"/>
    <w:rsid w:val="000773AD"/>
    <w:rsid w:val="0007753B"/>
    <w:rsid w:val="000775DE"/>
    <w:rsid w:val="00077629"/>
    <w:rsid w:val="00077773"/>
    <w:rsid w:val="0007784A"/>
    <w:rsid w:val="000778F5"/>
    <w:rsid w:val="00077A0C"/>
    <w:rsid w:val="00077B6F"/>
    <w:rsid w:val="00077F68"/>
    <w:rsid w:val="0008000F"/>
    <w:rsid w:val="00080179"/>
    <w:rsid w:val="000801ED"/>
    <w:rsid w:val="00080275"/>
    <w:rsid w:val="000803F1"/>
    <w:rsid w:val="0008060A"/>
    <w:rsid w:val="00080645"/>
    <w:rsid w:val="00080775"/>
    <w:rsid w:val="00080799"/>
    <w:rsid w:val="00080A01"/>
    <w:rsid w:val="00080B83"/>
    <w:rsid w:val="00080BB0"/>
    <w:rsid w:val="00080CA3"/>
    <w:rsid w:val="00080E69"/>
    <w:rsid w:val="00080EC5"/>
    <w:rsid w:val="00080F62"/>
    <w:rsid w:val="000810B3"/>
    <w:rsid w:val="000810D9"/>
    <w:rsid w:val="000812CC"/>
    <w:rsid w:val="00081307"/>
    <w:rsid w:val="00081540"/>
    <w:rsid w:val="00081613"/>
    <w:rsid w:val="000816EA"/>
    <w:rsid w:val="00081902"/>
    <w:rsid w:val="00081AC8"/>
    <w:rsid w:val="00081F10"/>
    <w:rsid w:val="00081FAA"/>
    <w:rsid w:val="00081FB9"/>
    <w:rsid w:val="0008218C"/>
    <w:rsid w:val="000823C0"/>
    <w:rsid w:val="00082559"/>
    <w:rsid w:val="00082786"/>
    <w:rsid w:val="00082B7C"/>
    <w:rsid w:val="00082E81"/>
    <w:rsid w:val="00083083"/>
    <w:rsid w:val="000831D0"/>
    <w:rsid w:val="000831DB"/>
    <w:rsid w:val="0008321D"/>
    <w:rsid w:val="000833C1"/>
    <w:rsid w:val="000834A4"/>
    <w:rsid w:val="000835B2"/>
    <w:rsid w:val="000835DB"/>
    <w:rsid w:val="00083841"/>
    <w:rsid w:val="0008387B"/>
    <w:rsid w:val="00083D56"/>
    <w:rsid w:val="00083DE1"/>
    <w:rsid w:val="0008401B"/>
    <w:rsid w:val="00084077"/>
    <w:rsid w:val="000840E3"/>
    <w:rsid w:val="000841B3"/>
    <w:rsid w:val="0008444C"/>
    <w:rsid w:val="00084523"/>
    <w:rsid w:val="00084551"/>
    <w:rsid w:val="00084676"/>
    <w:rsid w:val="0008467B"/>
    <w:rsid w:val="00084735"/>
    <w:rsid w:val="000849B4"/>
    <w:rsid w:val="000849C5"/>
    <w:rsid w:val="00084AD7"/>
    <w:rsid w:val="00084D36"/>
    <w:rsid w:val="0008535E"/>
    <w:rsid w:val="0008561F"/>
    <w:rsid w:val="0008569B"/>
    <w:rsid w:val="000856A8"/>
    <w:rsid w:val="00085DE4"/>
    <w:rsid w:val="00085E14"/>
    <w:rsid w:val="00085EA5"/>
    <w:rsid w:val="000861E0"/>
    <w:rsid w:val="0008625F"/>
    <w:rsid w:val="0008633A"/>
    <w:rsid w:val="0008655D"/>
    <w:rsid w:val="00086673"/>
    <w:rsid w:val="00086811"/>
    <w:rsid w:val="000869C9"/>
    <w:rsid w:val="00087179"/>
    <w:rsid w:val="0008726C"/>
    <w:rsid w:val="00087455"/>
    <w:rsid w:val="000874A9"/>
    <w:rsid w:val="0008755A"/>
    <w:rsid w:val="00087642"/>
    <w:rsid w:val="000878AA"/>
    <w:rsid w:val="000878E9"/>
    <w:rsid w:val="00087998"/>
    <w:rsid w:val="00087A6E"/>
    <w:rsid w:val="00087AA0"/>
    <w:rsid w:val="00087BF0"/>
    <w:rsid w:val="00087C4F"/>
    <w:rsid w:val="00087C7F"/>
    <w:rsid w:val="00087CE5"/>
    <w:rsid w:val="00087E72"/>
    <w:rsid w:val="00087EA4"/>
    <w:rsid w:val="00087F84"/>
    <w:rsid w:val="00087FAF"/>
    <w:rsid w:val="0009037D"/>
    <w:rsid w:val="00090403"/>
    <w:rsid w:val="0009068A"/>
    <w:rsid w:val="00090813"/>
    <w:rsid w:val="00090BB3"/>
    <w:rsid w:val="00090BDC"/>
    <w:rsid w:val="00090BDE"/>
    <w:rsid w:val="00090C2F"/>
    <w:rsid w:val="00090E7B"/>
    <w:rsid w:val="00091487"/>
    <w:rsid w:val="0009182F"/>
    <w:rsid w:val="0009188D"/>
    <w:rsid w:val="00091946"/>
    <w:rsid w:val="00091A84"/>
    <w:rsid w:val="00091BAC"/>
    <w:rsid w:val="00091BB7"/>
    <w:rsid w:val="00091C0D"/>
    <w:rsid w:val="00091CB8"/>
    <w:rsid w:val="00091D1B"/>
    <w:rsid w:val="00092006"/>
    <w:rsid w:val="000921CB"/>
    <w:rsid w:val="00092323"/>
    <w:rsid w:val="0009236A"/>
    <w:rsid w:val="0009253C"/>
    <w:rsid w:val="00092628"/>
    <w:rsid w:val="000926AB"/>
    <w:rsid w:val="0009294A"/>
    <w:rsid w:val="000929E9"/>
    <w:rsid w:val="00092CA8"/>
    <w:rsid w:val="00092CAF"/>
    <w:rsid w:val="00092D49"/>
    <w:rsid w:val="00092F15"/>
    <w:rsid w:val="00092F8B"/>
    <w:rsid w:val="000934FE"/>
    <w:rsid w:val="00093555"/>
    <w:rsid w:val="00093839"/>
    <w:rsid w:val="000939A1"/>
    <w:rsid w:val="00093B24"/>
    <w:rsid w:val="00093C71"/>
    <w:rsid w:val="00093C7E"/>
    <w:rsid w:val="00093D9C"/>
    <w:rsid w:val="00093E64"/>
    <w:rsid w:val="00093E6B"/>
    <w:rsid w:val="00093F94"/>
    <w:rsid w:val="00094360"/>
    <w:rsid w:val="00094457"/>
    <w:rsid w:val="00094622"/>
    <w:rsid w:val="0009488C"/>
    <w:rsid w:val="00094A3C"/>
    <w:rsid w:val="00094B90"/>
    <w:rsid w:val="00094C3C"/>
    <w:rsid w:val="00094E9A"/>
    <w:rsid w:val="0009559C"/>
    <w:rsid w:val="0009583E"/>
    <w:rsid w:val="0009587F"/>
    <w:rsid w:val="00095AC0"/>
    <w:rsid w:val="00095D2C"/>
    <w:rsid w:val="00095D88"/>
    <w:rsid w:val="000962FC"/>
    <w:rsid w:val="0009666A"/>
    <w:rsid w:val="0009668C"/>
    <w:rsid w:val="0009678E"/>
    <w:rsid w:val="000968A5"/>
    <w:rsid w:val="00096BFA"/>
    <w:rsid w:val="00096C1A"/>
    <w:rsid w:val="00096CA9"/>
    <w:rsid w:val="00096DAE"/>
    <w:rsid w:val="000971E1"/>
    <w:rsid w:val="0009743B"/>
    <w:rsid w:val="0009757E"/>
    <w:rsid w:val="00097603"/>
    <w:rsid w:val="00097D68"/>
    <w:rsid w:val="00097ECD"/>
    <w:rsid w:val="00097FEA"/>
    <w:rsid w:val="000A008E"/>
    <w:rsid w:val="000A00BA"/>
    <w:rsid w:val="000A00D3"/>
    <w:rsid w:val="000A01C4"/>
    <w:rsid w:val="000A0267"/>
    <w:rsid w:val="000A02AD"/>
    <w:rsid w:val="000A0541"/>
    <w:rsid w:val="000A0624"/>
    <w:rsid w:val="000A09C3"/>
    <w:rsid w:val="000A0AE2"/>
    <w:rsid w:val="000A0D6A"/>
    <w:rsid w:val="000A0EE6"/>
    <w:rsid w:val="000A0F24"/>
    <w:rsid w:val="000A1082"/>
    <w:rsid w:val="000A1185"/>
    <w:rsid w:val="000A13DD"/>
    <w:rsid w:val="000A1451"/>
    <w:rsid w:val="000A1459"/>
    <w:rsid w:val="000A1489"/>
    <w:rsid w:val="000A149A"/>
    <w:rsid w:val="000A152C"/>
    <w:rsid w:val="000A16D5"/>
    <w:rsid w:val="000A1735"/>
    <w:rsid w:val="000A17ED"/>
    <w:rsid w:val="000A17F8"/>
    <w:rsid w:val="000A1829"/>
    <w:rsid w:val="000A24FB"/>
    <w:rsid w:val="000A263F"/>
    <w:rsid w:val="000A2C85"/>
    <w:rsid w:val="000A2E48"/>
    <w:rsid w:val="000A2E57"/>
    <w:rsid w:val="000A2EB4"/>
    <w:rsid w:val="000A300C"/>
    <w:rsid w:val="000A3045"/>
    <w:rsid w:val="000A30D9"/>
    <w:rsid w:val="000A3276"/>
    <w:rsid w:val="000A3321"/>
    <w:rsid w:val="000A33D8"/>
    <w:rsid w:val="000A34A2"/>
    <w:rsid w:val="000A3883"/>
    <w:rsid w:val="000A395A"/>
    <w:rsid w:val="000A3A30"/>
    <w:rsid w:val="000A3A65"/>
    <w:rsid w:val="000A3BE9"/>
    <w:rsid w:val="000A3C23"/>
    <w:rsid w:val="000A3D69"/>
    <w:rsid w:val="000A3D8C"/>
    <w:rsid w:val="000A3E3C"/>
    <w:rsid w:val="000A4183"/>
    <w:rsid w:val="000A41D2"/>
    <w:rsid w:val="000A420B"/>
    <w:rsid w:val="000A43B9"/>
    <w:rsid w:val="000A4563"/>
    <w:rsid w:val="000A4752"/>
    <w:rsid w:val="000A47C2"/>
    <w:rsid w:val="000A4974"/>
    <w:rsid w:val="000A4A25"/>
    <w:rsid w:val="000A4B1B"/>
    <w:rsid w:val="000A4D43"/>
    <w:rsid w:val="000A4E9C"/>
    <w:rsid w:val="000A5062"/>
    <w:rsid w:val="000A51B9"/>
    <w:rsid w:val="000A5213"/>
    <w:rsid w:val="000A5575"/>
    <w:rsid w:val="000A5762"/>
    <w:rsid w:val="000A57A2"/>
    <w:rsid w:val="000A5921"/>
    <w:rsid w:val="000A594C"/>
    <w:rsid w:val="000A5F48"/>
    <w:rsid w:val="000A6522"/>
    <w:rsid w:val="000A684E"/>
    <w:rsid w:val="000A6F8D"/>
    <w:rsid w:val="000A6F9C"/>
    <w:rsid w:val="000A700C"/>
    <w:rsid w:val="000A709F"/>
    <w:rsid w:val="000A7132"/>
    <w:rsid w:val="000A71E8"/>
    <w:rsid w:val="000A7269"/>
    <w:rsid w:val="000A780B"/>
    <w:rsid w:val="000A7876"/>
    <w:rsid w:val="000A78E8"/>
    <w:rsid w:val="000A7912"/>
    <w:rsid w:val="000A7AFE"/>
    <w:rsid w:val="000A7B84"/>
    <w:rsid w:val="000A7C86"/>
    <w:rsid w:val="000A7CFA"/>
    <w:rsid w:val="000A7D2A"/>
    <w:rsid w:val="000A7D5C"/>
    <w:rsid w:val="000A7EE3"/>
    <w:rsid w:val="000B000A"/>
    <w:rsid w:val="000B0043"/>
    <w:rsid w:val="000B005E"/>
    <w:rsid w:val="000B0157"/>
    <w:rsid w:val="000B0427"/>
    <w:rsid w:val="000B043D"/>
    <w:rsid w:val="000B052A"/>
    <w:rsid w:val="000B05CF"/>
    <w:rsid w:val="000B05FC"/>
    <w:rsid w:val="000B07CD"/>
    <w:rsid w:val="000B07EE"/>
    <w:rsid w:val="000B07F9"/>
    <w:rsid w:val="000B093F"/>
    <w:rsid w:val="000B09EF"/>
    <w:rsid w:val="000B0A0C"/>
    <w:rsid w:val="000B0A80"/>
    <w:rsid w:val="000B0BE0"/>
    <w:rsid w:val="000B0F2E"/>
    <w:rsid w:val="000B10F4"/>
    <w:rsid w:val="000B131E"/>
    <w:rsid w:val="000B14CC"/>
    <w:rsid w:val="000B1618"/>
    <w:rsid w:val="000B172A"/>
    <w:rsid w:val="000B1B36"/>
    <w:rsid w:val="000B1B4E"/>
    <w:rsid w:val="000B1F15"/>
    <w:rsid w:val="000B2049"/>
    <w:rsid w:val="000B2111"/>
    <w:rsid w:val="000B21F6"/>
    <w:rsid w:val="000B23F1"/>
    <w:rsid w:val="000B2667"/>
    <w:rsid w:val="000B2717"/>
    <w:rsid w:val="000B2796"/>
    <w:rsid w:val="000B27A3"/>
    <w:rsid w:val="000B28BC"/>
    <w:rsid w:val="000B299B"/>
    <w:rsid w:val="000B2ADC"/>
    <w:rsid w:val="000B2AF7"/>
    <w:rsid w:val="000B2B72"/>
    <w:rsid w:val="000B2D81"/>
    <w:rsid w:val="000B2F08"/>
    <w:rsid w:val="000B2F22"/>
    <w:rsid w:val="000B300E"/>
    <w:rsid w:val="000B302A"/>
    <w:rsid w:val="000B306D"/>
    <w:rsid w:val="000B3232"/>
    <w:rsid w:val="000B324B"/>
    <w:rsid w:val="000B34D3"/>
    <w:rsid w:val="000B35E7"/>
    <w:rsid w:val="000B3638"/>
    <w:rsid w:val="000B3651"/>
    <w:rsid w:val="000B367A"/>
    <w:rsid w:val="000B37F1"/>
    <w:rsid w:val="000B3879"/>
    <w:rsid w:val="000B387A"/>
    <w:rsid w:val="000B3A07"/>
    <w:rsid w:val="000B3B6B"/>
    <w:rsid w:val="000B3C6D"/>
    <w:rsid w:val="000B3E4B"/>
    <w:rsid w:val="000B4162"/>
    <w:rsid w:val="000B419B"/>
    <w:rsid w:val="000B4256"/>
    <w:rsid w:val="000B434E"/>
    <w:rsid w:val="000B43EE"/>
    <w:rsid w:val="000B4495"/>
    <w:rsid w:val="000B44DF"/>
    <w:rsid w:val="000B459E"/>
    <w:rsid w:val="000B45E4"/>
    <w:rsid w:val="000B46DA"/>
    <w:rsid w:val="000B49FA"/>
    <w:rsid w:val="000B4BB8"/>
    <w:rsid w:val="000B4BD2"/>
    <w:rsid w:val="000B4F2E"/>
    <w:rsid w:val="000B5162"/>
    <w:rsid w:val="000B5353"/>
    <w:rsid w:val="000B5CDC"/>
    <w:rsid w:val="000B5D79"/>
    <w:rsid w:val="000B5E0E"/>
    <w:rsid w:val="000B6036"/>
    <w:rsid w:val="000B6455"/>
    <w:rsid w:val="000B6AE5"/>
    <w:rsid w:val="000B6C45"/>
    <w:rsid w:val="000B6E3B"/>
    <w:rsid w:val="000B6E59"/>
    <w:rsid w:val="000B6FFB"/>
    <w:rsid w:val="000B708B"/>
    <w:rsid w:val="000B70FC"/>
    <w:rsid w:val="000B7158"/>
    <w:rsid w:val="000B724E"/>
    <w:rsid w:val="000B727D"/>
    <w:rsid w:val="000B72D7"/>
    <w:rsid w:val="000B74CF"/>
    <w:rsid w:val="000B7538"/>
    <w:rsid w:val="000B7B9E"/>
    <w:rsid w:val="000B7DF4"/>
    <w:rsid w:val="000B7FE4"/>
    <w:rsid w:val="000C0114"/>
    <w:rsid w:val="000C0203"/>
    <w:rsid w:val="000C05FA"/>
    <w:rsid w:val="000C061F"/>
    <w:rsid w:val="000C0695"/>
    <w:rsid w:val="000C06AC"/>
    <w:rsid w:val="000C0728"/>
    <w:rsid w:val="000C0AE7"/>
    <w:rsid w:val="000C0BBF"/>
    <w:rsid w:val="000C0C21"/>
    <w:rsid w:val="000C0D09"/>
    <w:rsid w:val="000C1103"/>
    <w:rsid w:val="000C1212"/>
    <w:rsid w:val="000C14CB"/>
    <w:rsid w:val="000C1511"/>
    <w:rsid w:val="000C18A0"/>
    <w:rsid w:val="000C1CC0"/>
    <w:rsid w:val="000C20BB"/>
    <w:rsid w:val="000C2285"/>
    <w:rsid w:val="000C244F"/>
    <w:rsid w:val="000C24A6"/>
    <w:rsid w:val="000C24AE"/>
    <w:rsid w:val="000C25B1"/>
    <w:rsid w:val="000C266E"/>
    <w:rsid w:val="000C2750"/>
    <w:rsid w:val="000C29E8"/>
    <w:rsid w:val="000C2A2C"/>
    <w:rsid w:val="000C2AEE"/>
    <w:rsid w:val="000C2D00"/>
    <w:rsid w:val="000C2D23"/>
    <w:rsid w:val="000C2DDA"/>
    <w:rsid w:val="000C2DF8"/>
    <w:rsid w:val="000C2DFC"/>
    <w:rsid w:val="000C2F07"/>
    <w:rsid w:val="000C2F76"/>
    <w:rsid w:val="000C30B4"/>
    <w:rsid w:val="000C32EC"/>
    <w:rsid w:val="000C378A"/>
    <w:rsid w:val="000C37B5"/>
    <w:rsid w:val="000C3854"/>
    <w:rsid w:val="000C3AA5"/>
    <w:rsid w:val="000C3BF2"/>
    <w:rsid w:val="000C3C33"/>
    <w:rsid w:val="000C3D8A"/>
    <w:rsid w:val="000C3FDF"/>
    <w:rsid w:val="000C4151"/>
    <w:rsid w:val="000C4165"/>
    <w:rsid w:val="000C43EC"/>
    <w:rsid w:val="000C4909"/>
    <w:rsid w:val="000C4AFD"/>
    <w:rsid w:val="000C4C5A"/>
    <w:rsid w:val="000C4E5E"/>
    <w:rsid w:val="000C4F0E"/>
    <w:rsid w:val="000C4F25"/>
    <w:rsid w:val="000C5264"/>
    <w:rsid w:val="000C5548"/>
    <w:rsid w:val="000C5627"/>
    <w:rsid w:val="000C56F0"/>
    <w:rsid w:val="000C571D"/>
    <w:rsid w:val="000C5741"/>
    <w:rsid w:val="000C58F5"/>
    <w:rsid w:val="000C5A76"/>
    <w:rsid w:val="000C5A9E"/>
    <w:rsid w:val="000C5C03"/>
    <w:rsid w:val="000C5D5C"/>
    <w:rsid w:val="000C5ED8"/>
    <w:rsid w:val="000C5F40"/>
    <w:rsid w:val="000C6396"/>
    <w:rsid w:val="000C67FB"/>
    <w:rsid w:val="000C684C"/>
    <w:rsid w:val="000C6A62"/>
    <w:rsid w:val="000C6BAD"/>
    <w:rsid w:val="000C6D39"/>
    <w:rsid w:val="000C7302"/>
    <w:rsid w:val="000C73BA"/>
    <w:rsid w:val="000C78C2"/>
    <w:rsid w:val="000C79F2"/>
    <w:rsid w:val="000C79FD"/>
    <w:rsid w:val="000C7B54"/>
    <w:rsid w:val="000C7BE2"/>
    <w:rsid w:val="000C7E26"/>
    <w:rsid w:val="000C7E3D"/>
    <w:rsid w:val="000C7EC0"/>
    <w:rsid w:val="000C7ED5"/>
    <w:rsid w:val="000D02AD"/>
    <w:rsid w:val="000D057C"/>
    <w:rsid w:val="000D0587"/>
    <w:rsid w:val="000D068C"/>
    <w:rsid w:val="000D08AE"/>
    <w:rsid w:val="000D0BF2"/>
    <w:rsid w:val="000D0DF4"/>
    <w:rsid w:val="000D0E05"/>
    <w:rsid w:val="000D113D"/>
    <w:rsid w:val="000D12B8"/>
    <w:rsid w:val="000D1370"/>
    <w:rsid w:val="000D142A"/>
    <w:rsid w:val="000D16BF"/>
    <w:rsid w:val="000D16FD"/>
    <w:rsid w:val="000D188E"/>
    <w:rsid w:val="000D18B7"/>
    <w:rsid w:val="000D18D3"/>
    <w:rsid w:val="000D1972"/>
    <w:rsid w:val="000D1B2B"/>
    <w:rsid w:val="000D1B7D"/>
    <w:rsid w:val="000D1C46"/>
    <w:rsid w:val="000D1E7A"/>
    <w:rsid w:val="000D1EE3"/>
    <w:rsid w:val="000D218A"/>
    <w:rsid w:val="000D2277"/>
    <w:rsid w:val="000D22A7"/>
    <w:rsid w:val="000D2526"/>
    <w:rsid w:val="000D27B3"/>
    <w:rsid w:val="000D296D"/>
    <w:rsid w:val="000D2A0E"/>
    <w:rsid w:val="000D2BCD"/>
    <w:rsid w:val="000D2BEF"/>
    <w:rsid w:val="000D32D1"/>
    <w:rsid w:val="000D3387"/>
    <w:rsid w:val="000D33C8"/>
    <w:rsid w:val="000D33FC"/>
    <w:rsid w:val="000D3515"/>
    <w:rsid w:val="000D3827"/>
    <w:rsid w:val="000D39CB"/>
    <w:rsid w:val="000D3CCB"/>
    <w:rsid w:val="000D3E6E"/>
    <w:rsid w:val="000D3F66"/>
    <w:rsid w:val="000D3F69"/>
    <w:rsid w:val="000D3FF8"/>
    <w:rsid w:val="000D4033"/>
    <w:rsid w:val="000D405E"/>
    <w:rsid w:val="000D411E"/>
    <w:rsid w:val="000D436F"/>
    <w:rsid w:val="000D4405"/>
    <w:rsid w:val="000D49D0"/>
    <w:rsid w:val="000D4C1C"/>
    <w:rsid w:val="000D4C3D"/>
    <w:rsid w:val="000D4CD6"/>
    <w:rsid w:val="000D4DAB"/>
    <w:rsid w:val="000D5117"/>
    <w:rsid w:val="000D51FD"/>
    <w:rsid w:val="000D5635"/>
    <w:rsid w:val="000D56F0"/>
    <w:rsid w:val="000D5777"/>
    <w:rsid w:val="000D586F"/>
    <w:rsid w:val="000D58D0"/>
    <w:rsid w:val="000D5A9F"/>
    <w:rsid w:val="000D5B21"/>
    <w:rsid w:val="000D5C58"/>
    <w:rsid w:val="000D6A02"/>
    <w:rsid w:val="000D6B78"/>
    <w:rsid w:val="000D6CFF"/>
    <w:rsid w:val="000D6E83"/>
    <w:rsid w:val="000D6FF5"/>
    <w:rsid w:val="000D76B9"/>
    <w:rsid w:val="000D7806"/>
    <w:rsid w:val="000D7884"/>
    <w:rsid w:val="000D78BB"/>
    <w:rsid w:val="000D7CD1"/>
    <w:rsid w:val="000D7E1E"/>
    <w:rsid w:val="000D7EAF"/>
    <w:rsid w:val="000E0243"/>
    <w:rsid w:val="000E0841"/>
    <w:rsid w:val="000E09E9"/>
    <w:rsid w:val="000E0A7E"/>
    <w:rsid w:val="000E0B74"/>
    <w:rsid w:val="000E0C81"/>
    <w:rsid w:val="000E0D4A"/>
    <w:rsid w:val="000E0EA6"/>
    <w:rsid w:val="000E0FBF"/>
    <w:rsid w:val="000E10EB"/>
    <w:rsid w:val="000E12E8"/>
    <w:rsid w:val="000E14DA"/>
    <w:rsid w:val="000E15D7"/>
    <w:rsid w:val="000E1609"/>
    <w:rsid w:val="000E1631"/>
    <w:rsid w:val="000E184C"/>
    <w:rsid w:val="000E18FC"/>
    <w:rsid w:val="000E1987"/>
    <w:rsid w:val="000E19CD"/>
    <w:rsid w:val="000E24FD"/>
    <w:rsid w:val="000E27E7"/>
    <w:rsid w:val="000E2808"/>
    <w:rsid w:val="000E2878"/>
    <w:rsid w:val="000E2893"/>
    <w:rsid w:val="000E296A"/>
    <w:rsid w:val="000E29FE"/>
    <w:rsid w:val="000E2A57"/>
    <w:rsid w:val="000E2BA6"/>
    <w:rsid w:val="000E2CC4"/>
    <w:rsid w:val="000E2D4D"/>
    <w:rsid w:val="000E2E54"/>
    <w:rsid w:val="000E330A"/>
    <w:rsid w:val="000E3314"/>
    <w:rsid w:val="000E33F3"/>
    <w:rsid w:val="000E3478"/>
    <w:rsid w:val="000E35FF"/>
    <w:rsid w:val="000E36E9"/>
    <w:rsid w:val="000E3996"/>
    <w:rsid w:val="000E39DA"/>
    <w:rsid w:val="000E3B53"/>
    <w:rsid w:val="000E3DA0"/>
    <w:rsid w:val="000E3EE9"/>
    <w:rsid w:val="000E48EC"/>
    <w:rsid w:val="000E49AF"/>
    <w:rsid w:val="000E4BA4"/>
    <w:rsid w:val="000E4CFB"/>
    <w:rsid w:val="000E4E37"/>
    <w:rsid w:val="000E4E54"/>
    <w:rsid w:val="000E4FA0"/>
    <w:rsid w:val="000E4FA9"/>
    <w:rsid w:val="000E5310"/>
    <w:rsid w:val="000E54AB"/>
    <w:rsid w:val="000E58CC"/>
    <w:rsid w:val="000E58FA"/>
    <w:rsid w:val="000E5B33"/>
    <w:rsid w:val="000E5C17"/>
    <w:rsid w:val="000E5C7F"/>
    <w:rsid w:val="000E5EBB"/>
    <w:rsid w:val="000E604B"/>
    <w:rsid w:val="000E60D6"/>
    <w:rsid w:val="000E6137"/>
    <w:rsid w:val="000E61AF"/>
    <w:rsid w:val="000E6245"/>
    <w:rsid w:val="000E66D8"/>
    <w:rsid w:val="000E6769"/>
    <w:rsid w:val="000E68ED"/>
    <w:rsid w:val="000E69D2"/>
    <w:rsid w:val="000E6DD2"/>
    <w:rsid w:val="000E6F1D"/>
    <w:rsid w:val="000E7012"/>
    <w:rsid w:val="000E719E"/>
    <w:rsid w:val="000E74E8"/>
    <w:rsid w:val="000E7562"/>
    <w:rsid w:val="000E780F"/>
    <w:rsid w:val="000E7901"/>
    <w:rsid w:val="000E7A0A"/>
    <w:rsid w:val="000E7B9A"/>
    <w:rsid w:val="000E7C83"/>
    <w:rsid w:val="000F05C2"/>
    <w:rsid w:val="000F05D1"/>
    <w:rsid w:val="000F067A"/>
    <w:rsid w:val="000F08E0"/>
    <w:rsid w:val="000F093A"/>
    <w:rsid w:val="000F0B1F"/>
    <w:rsid w:val="000F0CD6"/>
    <w:rsid w:val="000F0D3F"/>
    <w:rsid w:val="000F0F58"/>
    <w:rsid w:val="000F0FC0"/>
    <w:rsid w:val="000F1079"/>
    <w:rsid w:val="000F10A6"/>
    <w:rsid w:val="000F10E2"/>
    <w:rsid w:val="000F1308"/>
    <w:rsid w:val="000F1377"/>
    <w:rsid w:val="000F154F"/>
    <w:rsid w:val="000F15D1"/>
    <w:rsid w:val="000F1982"/>
    <w:rsid w:val="000F1C97"/>
    <w:rsid w:val="000F2241"/>
    <w:rsid w:val="000F2720"/>
    <w:rsid w:val="000F27D0"/>
    <w:rsid w:val="000F2D32"/>
    <w:rsid w:val="000F2E31"/>
    <w:rsid w:val="000F3090"/>
    <w:rsid w:val="000F3396"/>
    <w:rsid w:val="000F374C"/>
    <w:rsid w:val="000F3759"/>
    <w:rsid w:val="000F37D3"/>
    <w:rsid w:val="000F3993"/>
    <w:rsid w:val="000F3BE3"/>
    <w:rsid w:val="000F3C32"/>
    <w:rsid w:val="000F3D07"/>
    <w:rsid w:val="000F3F9E"/>
    <w:rsid w:val="000F4110"/>
    <w:rsid w:val="000F433C"/>
    <w:rsid w:val="000F441B"/>
    <w:rsid w:val="000F4806"/>
    <w:rsid w:val="000F496B"/>
    <w:rsid w:val="000F4D6A"/>
    <w:rsid w:val="000F4E78"/>
    <w:rsid w:val="000F4F14"/>
    <w:rsid w:val="000F564D"/>
    <w:rsid w:val="000F585A"/>
    <w:rsid w:val="000F593D"/>
    <w:rsid w:val="000F5BC2"/>
    <w:rsid w:val="000F5C8B"/>
    <w:rsid w:val="000F5CBC"/>
    <w:rsid w:val="000F5DE2"/>
    <w:rsid w:val="000F6151"/>
    <w:rsid w:val="000F619C"/>
    <w:rsid w:val="000F6233"/>
    <w:rsid w:val="000F63D2"/>
    <w:rsid w:val="000F65BD"/>
    <w:rsid w:val="000F662E"/>
    <w:rsid w:val="000F6ADF"/>
    <w:rsid w:val="000F6E37"/>
    <w:rsid w:val="000F6FDD"/>
    <w:rsid w:val="000F70B3"/>
    <w:rsid w:val="000F71BA"/>
    <w:rsid w:val="000F7790"/>
    <w:rsid w:val="000F7B23"/>
    <w:rsid w:val="000F7BF4"/>
    <w:rsid w:val="001000D1"/>
    <w:rsid w:val="00100100"/>
    <w:rsid w:val="00100345"/>
    <w:rsid w:val="00100369"/>
    <w:rsid w:val="0010062A"/>
    <w:rsid w:val="00100856"/>
    <w:rsid w:val="00100917"/>
    <w:rsid w:val="00100969"/>
    <w:rsid w:val="00100B36"/>
    <w:rsid w:val="00100B48"/>
    <w:rsid w:val="00100D8C"/>
    <w:rsid w:val="00100E25"/>
    <w:rsid w:val="00100E9C"/>
    <w:rsid w:val="00100F42"/>
    <w:rsid w:val="00100F8C"/>
    <w:rsid w:val="001010E4"/>
    <w:rsid w:val="0010111E"/>
    <w:rsid w:val="00101336"/>
    <w:rsid w:val="0010135F"/>
    <w:rsid w:val="00101369"/>
    <w:rsid w:val="001014E8"/>
    <w:rsid w:val="001015D6"/>
    <w:rsid w:val="00101607"/>
    <w:rsid w:val="0010167E"/>
    <w:rsid w:val="001017AE"/>
    <w:rsid w:val="00101947"/>
    <w:rsid w:val="001019DC"/>
    <w:rsid w:val="00101CCE"/>
    <w:rsid w:val="00101FEC"/>
    <w:rsid w:val="001020A7"/>
    <w:rsid w:val="0010213F"/>
    <w:rsid w:val="00102318"/>
    <w:rsid w:val="00102487"/>
    <w:rsid w:val="001025C4"/>
    <w:rsid w:val="001025FB"/>
    <w:rsid w:val="001028BC"/>
    <w:rsid w:val="00102EED"/>
    <w:rsid w:val="00102F5C"/>
    <w:rsid w:val="00103098"/>
    <w:rsid w:val="0010314E"/>
    <w:rsid w:val="00103629"/>
    <w:rsid w:val="00103720"/>
    <w:rsid w:val="001038AE"/>
    <w:rsid w:val="0010395B"/>
    <w:rsid w:val="00103DFE"/>
    <w:rsid w:val="00103E25"/>
    <w:rsid w:val="00103F3C"/>
    <w:rsid w:val="00103F8F"/>
    <w:rsid w:val="00103FE7"/>
    <w:rsid w:val="0010430B"/>
    <w:rsid w:val="00104394"/>
    <w:rsid w:val="00104400"/>
    <w:rsid w:val="00104558"/>
    <w:rsid w:val="001045D3"/>
    <w:rsid w:val="001046B4"/>
    <w:rsid w:val="00104765"/>
    <w:rsid w:val="00104A0F"/>
    <w:rsid w:val="00104A64"/>
    <w:rsid w:val="00104B11"/>
    <w:rsid w:val="00104E2C"/>
    <w:rsid w:val="00104F41"/>
    <w:rsid w:val="0010506F"/>
    <w:rsid w:val="001050AB"/>
    <w:rsid w:val="00105114"/>
    <w:rsid w:val="001051C1"/>
    <w:rsid w:val="0010539A"/>
    <w:rsid w:val="001056CE"/>
    <w:rsid w:val="001057D1"/>
    <w:rsid w:val="001058B4"/>
    <w:rsid w:val="001059D1"/>
    <w:rsid w:val="00105A08"/>
    <w:rsid w:val="00105BF6"/>
    <w:rsid w:val="00105CC6"/>
    <w:rsid w:val="00105D6D"/>
    <w:rsid w:val="00105DAA"/>
    <w:rsid w:val="00105DC8"/>
    <w:rsid w:val="00106073"/>
    <w:rsid w:val="00106203"/>
    <w:rsid w:val="00106533"/>
    <w:rsid w:val="001069C3"/>
    <w:rsid w:val="00106B4A"/>
    <w:rsid w:val="00106BDA"/>
    <w:rsid w:val="00106EB3"/>
    <w:rsid w:val="001070AF"/>
    <w:rsid w:val="00107224"/>
    <w:rsid w:val="00107739"/>
    <w:rsid w:val="0010776F"/>
    <w:rsid w:val="0010785B"/>
    <w:rsid w:val="0010791B"/>
    <w:rsid w:val="001079A0"/>
    <w:rsid w:val="00107A9F"/>
    <w:rsid w:val="00107C59"/>
    <w:rsid w:val="00107C61"/>
    <w:rsid w:val="00107F0E"/>
    <w:rsid w:val="00110197"/>
    <w:rsid w:val="001102E7"/>
    <w:rsid w:val="00110337"/>
    <w:rsid w:val="00110549"/>
    <w:rsid w:val="0011074C"/>
    <w:rsid w:val="00110844"/>
    <w:rsid w:val="001108E3"/>
    <w:rsid w:val="00110B64"/>
    <w:rsid w:val="00110C22"/>
    <w:rsid w:val="00110C24"/>
    <w:rsid w:val="00110CF6"/>
    <w:rsid w:val="001110C5"/>
    <w:rsid w:val="0011117E"/>
    <w:rsid w:val="00111765"/>
    <w:rsid w:val="0011177D"/>
    <w:rsid w:val="0011186F"/>
    <w:rsid w:val="001118CB"/>
    <w:rsid w:val="00111940"/>
    <w:rsid w:val="00111A62"/>
    <w:rsid w:val="00111A63"/>
    <w:rsid w:val="00111FBF"/>
    <w:rsid w:val="0011216B"/>
    <w:rsid w:val="00112349"/>
    <w:rsid w:val="001126D7"/>
    <w:rsid w:val="00112727"/>
    <w:rsid w:val="0011292A"/>
    <w:rsid w:val="001129B4"/>
    <w:rsid w:val="00112D63"/>
    <w:rsid w:val="00112E5E"/>
    <w:rsid w:val="00113361"/>
    <w:rsid w:val="00113677"/>
    <w:rsid w:val="00113695"/>
    <w:rsid w:val="001136D9"/>
    <w:rsid w:val="00113A09"/>
    <w:rsid w:val="00113C75"/>
    <w:rsid w:val="00113D39"/>
    <w:rsid w:val="00113E14"/>
    <w:rsid w:val="00113EAA"/>
    <w:rsid w:val="00114019"/>
    <w:rsid w:val="00114248"/>
    <w:rsid w:val="00114448"/>
    <w:rsid w:val="001144A3"/>
    <w:rsid w:val="00114649"/>
    <w:rsid w:val="00114793"/>
    <w:rsid w:val="0011488E"/>
    <w:rsid w:val="00114968"/>
    <w:rsid w:val="00114B26"/>
    <w:rsid w:val="00114B7A"/>
    <w:rsid w:val="00114B87"/>
    <w:rsid w:val="00114D1F"/>
    <w:rsid w:val="00114D48"/>
    <w:rsid w:val="00115229"/>
    <w:rsid w:val="00115319"/>
    <w:rsid w:val="0011548E"/>
    <w:rsid w:val="001154C8"/>
    <w:rsid w:val="00115690"/>
    <w:rsid w:val="00115907"/>
    <w:rsid w:val="00115930"/>
    <w:rsid w:val="00115982"/>
    <w:rsid w:val="00115994"/>
    <w:rsid w:val="00115CCA"/>
    <w:rsid w:val="00116053"/>
    <w:rsid w:val="001160EF"/>
    <w:rsid w:val="0011627B"/>
    <w:rsid w:val="0011665A"/>
    <w:rsid w:val="001166FB"/>
    <w:rsid w:val="00116A05"/>
    <w:rsid w:val="00116ADE"/>
    <w:rsid w:val="00116B3E"/>
    <w:rsid w:val="00116B40"/>
    <w:rsid w:val="00116C26"/>
    <w:rsid w:val="00116F7A"/>
    <w:rsid w:val="001172BD"/>
    <w:rsid w:val="00117329"/>
    <w:rsid w:val="001176D6"/>
    <w:rsid w:val="00117A22"/>
    <w:rsid w:val="00117BFD"/>
    <w:rsid w:val="00117D85"/>
    <w:rsid w:val="00117F39"/>
    <w:rsid w:val="00117FAD"/>
    <w:rsid w:val="0012005C"/>
    <w:rsid w:val="0012010C"/>
    <w:rsid w:val="001203BF"/>
    <w:rsid w:val="00120457"/>
    <w:rsid w:val="00120673"/>
    <w:rsid w:val="0012092C"/>
    <w:rsid w:val="00120AD5"/>
    <w:rsid w:val="00120AD9"/>
    <w:rsid w:val="00120B99"/>
    <w:rsid w:val="00120C8C"/>
    <w:rsid w:val="00120CE0"/>
    <w:rsid w:val="00120D28"/>
    <w:rsid w:val="00120D7E"/>
    <w:rsid w:val="00120FAC"/>
    <w:rsid w:val="001211D0"/>
    <w:rsid w:val="00121209"/>
    <w:rsid w:val="00121465"/>
    <w:rsid w:val="001215A9"/>
    <w:rsid w:val="001215AC"/>
    <w:rsid w:val="001218C5"/>
    <w:rsid w:val="001219C0"/>
    <w:rsid w:val="00121C3E"/>
    <w:rsid w:val="00121C4B"/>
    <w:rsid w:val="00121D37"/>
    <w:rsid w:val="00121D5A"/>
    <w:rsid w:val="00122005"/>
    <w:rsid w:val="00122174"/>
    <w:rsid w:val="00122190"/>
    <w:rsid w:val="0012235D"/>
    <w:rsid w:val="001223B9"/>
    <w:rsid w:val="0012246C"/>
    <w:rsid w:val="001224E2"/>
    <w:rsid w:val="00122820"/>
    <w:rsid w:val="001228F2"/>
    <w:rsid w:val="00122D28"/>
    <w:rsid w:val="00122DCD"/>
    <w:rsid w:val="00122FB1"/>
    <w:rsid w:val="0012310A"/>
    <w:rsid w:val="001231FB"/>
    <w:rsid w:val="001232AA"/>
    <w:rsid w:val="001232CB"/>
    <w:rsid w:val="0012335A"/>
    <w:rsid w:val="00123CC5"/>
    <w:rsid w:val="00123D61"/>
    <w:rsid w:val="00123E97"/>
    <w:rsid w:val="00123F16"/>
    <w:rsid w:val="00123F2F"/>
    <w:rsid w:val="001240D4"/>
    <w:rsid w:val="001241B3"/>
    <w:rsid w:val="00124226"/>
    <w:rsid w:val="001245C9"/>
    <w:rsid w:val="00124616"/>
    <w:rsid w:val="00124726"/>
    <w:rsid w:val="001247A2"/>
    <w:rsid w:val="001247B0"/>
    <w:rsid w:val="0012487F"/>
    <w:rsid w:val="00124908"/>
    <w:rsid w:val="0012499B"/>
    <w:rsid w:val="00124A17"/>
    <w:rsid w:val="00124B5D"/>
    <w:rsid w:val="00124B8E"/>
    <w:rsid w:val="00124CA9"/>
    <w:rsid w:val="00124D24"/>
    <w:rsid w:val="00124E52"/>
    <w:rsid w:val="00124F76"/>
    <w:rsid w:val="001252A6"/>
    <w:rsid w:val="001254B7"/>
    <w:rsid w:val="00125533"/>
    <w:rsid w:val="0012562C"/>
    <w:rsid w:val="00125771"/>
    <w:rsid w:val="00125980"/>
    <w:rsid w:val="00125BFF"/>
    <w:rsid w:val="00125C48"/>
    <w:rsid w:val="00125D96"/>
    <w:rsid w:val="00125E4A"/>
    <w:rsid w:val="00125FA0"/>
    <w:rsid w:val="00125FED"/>
    <w:rsid w:val="00125FF4"/>
    <w:rsid w:val="0012631D"/>
    <w:rsid w:val="0012634E"/>
    <w:rsid w:val="00126631"/>
    <w:rsid w:val="0012681B"/>
    <w:rsid w:val="001268C9"/>
    <w:rsid w:val="001268DD"/>
    <w:rsid w:val="0012690D"/>
    <w:rsid w:val="001269F9"/>
    <w:rsid w:val="00126A27"/>
    <w:rsid w:val="00126ACC"/>
    <w:rsid w:val="00126E50"/>
    <w:rsid w:val="00127024"/>
    <w:rsid w:val="00127482"/>
    <w:rsid w:val="00127583"/>
    <w:rsid w:val="00127857"/>
    <w:rsid w:val="001279A6"/>
    <w:rsid w:val="00127B0A"/>
    <w:rsid w:val="00127E68"/>
    <w:rsid w:val="00130003"/>
    <w:rsid w:val="001300FA"/>
    <w:rsid w:val="00130274"/>
    <w:rsid w:val="00130306"/>
    <w:rsid w:val="0013040D"/>
    <w:rsid w:val="001306EB"/>
    <w:rsid w:val="00130737"/>
    <w:rsid w:val="00130813"/>
    <w:rsid w:val="0013083D"/>
    <w:rsid w:val="00130986"/>
    <w:rsid w:val="00130987"/>
    <w:rsid w:val="00130AC5"/>
    <w:rsid w:val="00130DD6"/>
    <w:rsid w:val="00130E73"/>
    <w:rsid w:val="00130F14"/>
    <w:rsid w:val="0013139A"/>
    <w:rsid w:val="001313EA"/>
    <w:rsid w:val="00131419"/>
    <w:rsid w:val="0013153B"/>
    <w:rsid w:val="00131582"/>
    <w:rsid w:val="001316D9"/>
    <w:rsid w:val="0013171C"/>
    <w:rsid w:val="00131857"/>
    <w:rsid w:val="00131951"/>
    <w:rsid w:val="00131A0C"/>
    <w:rsid w:val="00131A64"/>
    <w:rsid w:val="00131AC7"/>
    <w:rsid w:val="00131B51"/>
    <w:rsid w:val="00131DC3"/>
    <w:rsid w:val="00131E41"/>
    <w:rsid w:val="00131E54"/>
    <w:rsid w:val="00131F9A"/>
    <w:rsid w:val="0013226B"/>
    <w:rsid w:val="0013227B"/>
    <w:rsid w:val="00132402"/>
    <w:rsid w:val="0013240A"/>
    <w:rsid w:val="0013251E"/>
    <w:rsid w:val="0013260E"/>
    <w:rsid w:val="0013270D"/>
    <w:rsid w:val="00132806"/>
    <w:rsid w:val="001328C6"/>
    <w:rsid w:val="00132AC9"/>
    <w:rsid w:val="00132B33"/>
    <w:rsid w:val="00132F5E"/>
    <w:rsid w:val="00133010"/>
    <w:rsid w:val="001331EB"/>
    <w:rsid w:val="00133252"/>
    <w:rsid w:val="001334A8"/>
    <w:rsid w:val="001335EF"/>
    <w:rsid w:val="00133768"/>
    <w:rsid w:val="00133B2F"/>
    <w:rsid w:val="00133B61"/>
    <w:rsid w:val="00133FDA"/>
    <w:rsid w:val="00134095"/>
    <w:rsid w:val="001340DE"/>
    <w:rsid w:val="001341A6"/>
    <w:rsid w:val="00134385"/>
    <w:rsid w:val="0013477F"/>
    <w:rsid w:val="001348E0"/>
    <w:rsid w:val="001349AC"/>
    <w:rsid w:val="00134BFD"/>
    <w:rsid w:val="00134D86"/>
    <w:rsid w:val="00134E74"/>
    <w:rsid w:val="0013503E"/>
    <w:rsid w:val="001354D6"/>
    <w:rsid w:val="001355AC"/>
    <w:rsid w:val="001356E4"/>
    <w:rsid w:val="001356F2"/>
    <w:rsid w:val="00135A33"/>
    <w:rsid w:val="00135A98"/>
    <w:rsid w:val="00135CE4"/>
    <w:rsid w:val="00135E4C"/>
    <w:rsid w:val="00135E9C"/>
    <w:rsid w:val="00135FA6"/>
    <w:rsid w:val="00136080"/>
    <w:rsid w:val="0013608E"/>
    <w:rsid w:val="0013648C"/>
    <w:rsid w:val="00136521"/>
    <w:rsid w:val="001366F2"/>
    <w:rsid w:val="00136756"/>
    <w:rsid w:val="0013677E"/>
    <w:rsid w:val="00136823"/>
    <w:rsid w:val="001368CB"/>
    <w:rsid w:val="0013695C"/>
    <w:rsid w:val="00136C44"/>
    <w:rsid w:val="00136C49"/>
    <w:rsid w:val="00136DB0"/>
    <w:rsid w:val="00136E17"/>
    <w:rsid w:val="00136E3B"/>
    <w:rsid w:val="00136F0A"/>
    <w:rsid w:val="00136FE3"/>
    <w:rsid w:val="001370B8"/>
    <w:rsid w:val="00137274"/>
    <w:rsid w:val="00137328"/>
    <w:rsid w:val="001373F5"/>
    <w:rsid w:val="001374D9"/>
    <w:rsid w:val="0013761A"/>
    <w:rsid w:val="00137654"/>
    <w:rsid w:val="001379A5"/>
    <w:rsid w:val="001379BD"/>
    <w:rsid w:val="00137C78"/>
    <w:rsid w:val="00137CDD"/>
    <w:rsid w:val="00137DCC"/>
    <w:rsid w:val="00137F16"/>
    <w:rsid w:val="0014008B"/>
    <w:rsid w:val="001401BC"/>
    <w:rsid w:val="001403D7"/>
    <w:rsid w:val="001404E7"/>
    <w:rsid w:val="001405F4"/>
    <w:rsid w:val="0014068E"/>
    <w:rsid w:val="001407A0"/>
    <w:rsid w:val="00140811"/>
    <w:rsid w:val="00140906"/>
    <w:rsid w:val="0014096F"/>
    <w:rsid w:val="0014098F"/>
    <w:rsid w:val="00140B62"/>
    <w:rsid w:val="00140B63"/>
    <w:rsid w:val="00140BD8"/>
    <w:rsid w:val="00140CA0"/>
    <w:rsid w:val="00140D20"/>
    <w:rsid w:val="00140D49"/>
    <w:rsid w:val="00140D4D"/>
    <w:rsid w:val="00140DEA"/>
    <w:rsid w:val="00140E41"/>
    <w:rsid w:val="00140EB0"/>
    <w:rsid w:val="00141086"/>
    <w:rsid w:val="0014127C"/>
    <w:rsid w:val="001412D6"/>
    <w:rsid w:val="00141600"/>
    <w:rsid w:val="001416F0"/>
    <w:rsid w:val="001417E2"/>
    <w:rsid w:val="00141B77"/>
    <w:rsid w:val="00141BB6"/>
    <w:rsid w:val="00141DB2"/>
    <w:rsid w:val="00141FF7"/>
    <w:rsid w:val="00142112"/>
    <w:rsid w:val="00142297"/>
    <w:rsid w:val="0014230E"/>
    <w:rsid w:val="00142439"/>
    <w:rsid w:val="00142527"/>
    <w:rsid w:val="00142736"/>
    <w:rsid w:val="0014278D"/>
    <w:rsid w:val="0014284B"/>
    <w:rsid w:val="00142869"/>
    <w:rsid w:val="00142970"/>
    <w:rsid w:val="00142B94"/>
    <w:rsid w:val="00142BBE"/>
    <w:rsid w:val="00142BCE"/>
    <w:rsid w:val="00142E03"/>
    <w:rsid w:val="00142FF1"/>
    <w:rsid w:val="00143153"/>
    <w:rsid w:val="00143161"/>
    <w:rsid w:val="001434F6"/>
    <w:rsid w:val="00143A99"/>
    <w:rsid w:val="00143AF1"/>
    <w:rsid w:val="00143F4B"/>
    <w:rsid w:val="00144003"/>
    <w:rsid w:val="001444BE"/>
    <w:rsid w:val="00144820"/>
    <w:rsid w:val="001449C7"/>
    <w:rsid w:val="001449FD"/>
    <w:rsid w:val="00144B31"/>
    <w:rsid w:val="00144BCE"/>
    <w:rsid w:val="00144E41"/>
    <w:rsid w:val="00145212"/>
    <w:rsid w:val="00145333"/>
    <w:rsid w:val="001453C4"/>
    <w:rsid w:val="00145457"/>
    <w:rsid w:val="00145508"/>
    <w:rsid w:val="001455D0"/>
    <w:rsid w:val="001459F1"/>
    <w:rsid w:val="00145C75"/>
    <w:rsid w:val="00145E3A"/>
    <w:rsid w:val="00146253"/>
    <w:rsid w:val="00146510"/>
    <w:rsid w:val="0014659B"/>
    <w:rsid w:val="001465FC"/>
    <w:rsid w:val="00146759"/>
    <w:rsid w:val="0014678E"/>
    <w:rsid w:val="00146876"/>
    <w:rsid w:val="00146983"/>
    <w:rsid w:val="0014699F"/>
    <w:rsid w:val="00146D03"/>
    <w:rsid w:val="00146EE7"/>
    <w:rsid w:val="00146F27"/>
    <w:rsid w:val="00146FA0"/>
    <w:rsid w:val="001473EB"/>
    <w:rsid w:val="0014750D"/>
    <w:rsid w:val="0014767F"/>
    <w:rsid w:val="0014792F"/>
    <w:rsid w:val="00147A9D"/>
    <w:rsid w:val="00147B99"/>
    <w:rsid w:val="00147BB3"/>
    <w:rsid w:val="00147C7D"/>
    <w:rsid w:val="00147EA2"/>
    <w:rsid w:val="00150485"/>
    <w:rsid w:val="0015050F"/>
    <w:rsid w:val="00150889"/>
    <w:rsid w:val="00150B8A"/>
    <w:rsid w:val="00150D83"/>
    <w:rsid w:val="00151186"/>
    <w:rsid w:val="00151414"/>
    <w:rsid w:val="00151658"/>
    <w:rsid w:val="001516FB"/>
    <w:rsid w:val="001517F6"/>
    <w:rsid w:val="00151D20"/>
    <w:rsid w:val="00151E7A"/>
    <w:rsid w:val="00151F7E"/>
    <w:rsid w:val="00152015"/>
    <w:rsid w:val="0015272F"/>
    <w:rsid w:val="0015275B"/>
    <w:rsid w:val="0015284D"/>
    <w:rsid w:val="00152883"/>
    <w:rsid w:val="0015293A"/>
    <w:rsid w:val="00152963"/>
    <w:rsid w:val="001529A4"/>
    <w:rsid w:val="00152CD9"/>
    <w:rsid w:val="00152E36"/>
    <w:rsid w:val="00153342"/>
    <w:rsid w:val="00153801"/>
    <w:rsid w:val="00153911"/>
    <w:rsid w:val="00153AF8"/>
    <w:rsid w:val="00153CE1"/>
    <w:rsid w:val="00153FE6"/>
    <w:rsid w:val="0015439D"/>
    <w:rsid w:val="001543C2"/>
    <w:rsid w:val="0015453B"/>
    <w:rsid w:val="0015458D"/>
    <w:rsid w:val="00154686"/>
    <w:rsid w:val="00154724"/>
    <w:rsid w:val="0015477E"/>
    <w:rsid w:val="001547D1"/>
    <w:rsid w:val="0015488C"/>
    <w:rsid w:val="0015490F"/>
    <w:rsid w:val="00154A3F"/>
    <w:rsid w:val="00154A73"/>
    <w:rsid w:val="00154AE1"/>
    <w:rsid w:val="00154C40"/>
    <w:rsid w:val="00154CAC"/>
    <w:rsid w:val="00154D38"/>
    <w:rsid w:val="00154D96"/>
    <w:rsid w:val="00154E1D"/>
    <w:rsid w:val="00154F0D"/>
    <w:rsid w:val="001553AE"/>
    <w:rsid w:val="001553BE"/>
    <w:rsid w:val="0015550F"/>
    <w:rsid w:val="00155512"/>
    <w:rsid w:val="00155630"/>
    <w:rsid w:val="00155718"/>
    <w:rsid w:val="00155791"/>
    <w:rsid w:val="00155840"/>
    <w:rsid w:val="00155843"/>
    <w:rsid w:val="001558D3"/>
    <w:rsid w:val="00155B22"/>
    <w:rsid w:val="00155C88"/>
    <w:rsid w:val="00155C98"/>
    <w:rsid w:val="0015602B"/>
    <w:rsid w:val="001560A6"/>
    <w:rsid w:val="00156156"/>
    <w:rsid w:val="00156434"/>
    <w:rsid w:val="0015647C"/>
    <w:rsid w:val="0015660F"/>
    <w:rsid w:val="0015662C"/>
    <w:rsid w:val="001566CF"/>
    <w:rsid w:val="00156F3D"/>
    <w:rsid w:val="00156FF3"/>
    <w:rsid w:val="00157172"/>
    <w:rsid w:val="001574C0"/>
    <w:rsid w:val="0015767A"/>
    <w:rsid w:val="001578B2"/>
    <w:rsid w:val="0015799F"/>
    <w:rsid w:val="00157A4E"/>
    <w:rsid w:val="00157BE9"/>
    <w:rsid w:val="00157D48"/>
    <w:rsid w:val="00157E25"/>
    <w:rsid w:val="00157E76"/>
    <w:rsid w:val="00157E8A"/>
    <w:rsid w:val="0016006E"/>
    <w:rsid w:val="00160144"/>
    <w:rsid w:val="001601A8"/>
    <w:rsid w:val="001601BE"/>
    <w:rsid w:val="00160210"/>
    <w:rsid w:val="0016028B"/>
    <w:rsid w:val="001602B8"/>
    <w:rsid w:val="00160344"/>
    <w:rsid w:val="001603B8"/>
    <w:rsid w:val="0016053B"/>
    <w:rsid w:val="001605CF"/>
    <w:rsid w:val="0016064A"/>
    <w:rsid w:val="001606CF"/>
    <w:rsid w:val="00160762"/>
    <w:rsid w:val="001608CB"/>
    <w:rsid w:val="00160DD7"/>
    <w:rsid w:val="00160E0C"/>
    <w:rsid w:val="00161002"/>
    <w:rsid w:val="00161030"/>
    <w:rsid w:val="00161045"/>
    <w:rsid w:val="0016120E"/>
    <w:rsid w:val="00161230"/>
    <w:rsid w:val="00161232"/>
    <w:rsid w:val="0016128D"/>
    <w:rsid w:val="001612E9"/>
    <w:rsid w:val="001613C0"/>
    <w:rsid w:val="001613F8"/>
    <w:rsid w:val="0016160E"/>
    <w:rsid w:val="001619DA"/>
    <w:rsid w:val="00161CBF"/>
    <w:rsid w:val="00161E97"/>
    <w:rsid w:val="00162030"/>
    <w:rsid w:val="00162405"/>
    <w:rsid w:val="00162466"/>
    <w:rsid w:val="001626E6"/>
    <w:rsid w:val="00162700"/>
    <w:rsid w:val="00162AD5"/>
    <w:rsid w:val="00162D10"/>
    <w:rsid w:val="001630C2"/>
    <w:rsid w:val="00163157"/>
    <w:rsid w:val="0016317D"/>
    <w:rsid w:val="001631C2"/>
    <w:rsid w:val="00163273"/>
    <w:rsid w:val="001634FC"/>
    <w:rsid w:val="0016358E"/>
    <w:rsid w:val="001636B6"/>
    <w:rsid w:val="00163719"/>
    <w:rsid w:val="00163881"/>
    <w:rsid w:val="00163BA0"/>
    <w:rsid w:val="00163C5E"/>
    <w:rsid w:val="00163CCE"/>
    <w:rsid w:val="00163D05"/>
    <w:rsid w:val="00163DD5"/>
    <w:rsid w:val="00163F37"/>
    <w:rsid w:val="00163F44"/>
    <w:rsid w:val="00163FA0"/>
    <w:rsid w:val="00163FF8"/>
    <w:rsid w:val="00164024"/>
    <w:rsid w:val="001640AC"/>
    <w:rsid w:val="001642AD"/>
    <w:rsid w:val="001642B6"/>
    <w:rsid w:val="00164599"/>
    <w:rsid w:val="001647F6"/>
    <w:rsid w:val="00164B76"/>
    <w:rsid w:val="00164F50"/>
    <w:rsid w:val="00164F80"/>
    <w:rsid w:val="001651D6"/>
    <w:rsid w:val="001652A8"/>
    <w:rsid w:val="00165458"/>
    <w:rsid w:val="00165680"/>
    <w:rsid w:val="001656BB"/>
    <w:rsid w:val="00165D40"/>
    <w:rsid w:val="00165E21"/>
    <w:rsid w:val="00165F85"/>
    <w:rsid w:val="001661F3"/>
    <w:rsid w:val="001662CB"/>
    <w:rsid w:val="001662EB"/>
    <w:rsid w:val="00166501"/>
    <w:rsid w:val="0016654F"/>
    <w:rsid w:val="0016696F"/>
    <w:rsid w:val="00166AC9"/>
    <w:rsid w:val="00166BFF"/>
    <w:rsid w:val="00166D30"/>
    <w:rsid w:val="00166D33"/>
    <w:rsid w:val="00166DA3"/>
    <w:rsid w:val="00167101"/>
    <w:rsid w:val="0016717E"/>
    <w:rsid w:val="001671B3"/>
    <w:rsid w:val="0016776D"/>
    <w:rsid w:val="00167A62"/>
    <w:rsid w:val="00167E1A"/>
    <w:rsid w:val="00167E4D"/>
    <w:rsid w:val="00167F99"/>
    <w:rsid w:val="0017014A"/>
    <w:rsid w:val="00170284"/>
    <w:rsid w:val="0017067A"/>
    <w:rsid w:val="0017089D"/>
    <w:rsid w:val="00170BE7"/>
    <w:rsid w:val="00170E37"/>
    <w:rsid w:val="00170E52"/>
    <w:rsid w:val="00170FCD"/>
    <w:rsid w:val="001710A9"/>
    <w:rsid w:val="00171445"/>
    <w:rsid w:val="00171509"/>
    <w:rsid w:val="0017172D"/>
    <w:rsid w:val="001717AE"/>
    <w:rsid w:val="00171B32"/>
    <w:rsid w:val="00171BDD"/>
    <w:rsid w:val="00171E43"/>
    <w:rsid w:val="00171F07"/>
    <w:rsid w:val="0017203E"/>
    <w:rsid w:val="001720F8"/>
    <w:rsid w:val="00172235"/>
    <w:rsid w:val="00172482"/>
    <w:rsid w:val="001724D3"/>
    <w:rsid w:val="001724DB"/>
    <w:rsid w:val="00172583"/>
    <w:rsid w:val="0017276C"/>
    <w:rsid w:val="00172788"/>
    <w:rsid w:val="0017282D"/>
    <w:rsid w:val="001728B9"/>
    <w:rsid w:val="00172BBF"/>
    <w:rsid w:val="00172C1F"/>
    <w:rsid w:val="00172CBD"/>
    <w:rsid w:val="00172DAA"/>
    <w:rsid w:val="00172E33"/>
    <w:rsid w:val="001730A4"/>
    <w:rsid w:val="001730EB"/>
    <w:rsid w:val="0017329D"/>
    <w:rsid w:val="001732B3"/>
    <w:rsid w:val="001734BE"/>
    <w:rsid w:val="001735C8"/>
    <w:rsid w:val="0017362B"/>
    <w:rsid w:val="00173675"/>
    <w:rsid w:val="0017376D"/>
    <w:rsid w:val="00173B5D"/>
    <w:rsid w:val="00173CB2"/>
    <w:rsid w:val="00173D87"/>
    <w:rsid w:val="00173E3B"/>
    <w:rsid w:val="00173F74"/>
    <w:rsid w:val="001743E4"/>
    <w:rsid w:val="0017471A"/>
    <w:rsid w:val="001747A3"/>
    <w:rsid w:val="001747A6"/>
    <w:rsid w:val="0017483D"/>
    <w:rsid w:val="00174880"/>
    <w:rsid w:val="00174B80"/>
    <w:rsid w:val="00174D31"/>
    <w:rsid w:val="00174EE1"/>
    <w:rsid w:val="001750E8"/>
    <w:rsid w:val="0017510D"/>
    <w:rsid w:val="001752AA"/>
    <w:rsid w:val="001752BE"/>
    <w:rsid w:val="00175363"/>
    <w:rsid w:val="001753BD"/>
    <w:rsid w:val="001753C7"/>
    <w:rsid w:val="001755C9"/>
    <w:rsid w:val="001759EF"/>
    <w:rsid w:val="00175B5D"/>
    <w:rsid w:val="00175D88"/>
    <w:rsid w:val="00175E40"/>
    <w:rsid w:val="00175EBC"/>
    <w:rsid w:val="0017605F"/>
    <w:rsid w:val="001761D2"/>
    <w:rsid w:val="00176228"/>
    <w:rsid w:val="0017625A"/>
    <w:rsid w:val="00176337"/>
    <w:rsid w:val="001763B6"/>
    <w:rsid w:val="00176425"/>
    <w:rsid w:val="00176713"/>
    <w:rsid w:val="001769F6"/>
    <w:rsid w:val="00176B25"/>
    <w:rsid w:val="00176C22"/>
    <w:rsid w:val="00176E29"/>
    <w:rsid w:val="00177123"/>
    <w:rsid w:val="001773B9"/>
    <w:rsid w:val="00177465"/>
    <w:rsid w:val="001779C6"/>
    <w:rsid w:val="00177A55"/>
    <w:rsid w:val="001800B7"/>
    <w:rsid w:val="001804F9"/>
    <w:rsid w:val="001805A8"/>
    <w:rsid w:val="001805E7"/>
    <w:rsid w:val="0018079A"/>
    <w:rsid w:val="001807A0"/>
    <w:rsid w:val="00180C15"/>
    <w:rsid w:val="00180F48"/>
    <w:rsid w:val="0018114D"/>
    <w:rsid w:val="001811B5"/>
    <w:rsid w:val="001811F7"/>
    <w:rsid w:val="0018125C"/>
    <w:rsid w:val="001814E3"/>
    <w:rsid w:val="001815D7"/>
    <w:rsid w:val="00181649"/>
    <w:rsid w:val="001819DD"/>
    <w:rsid w:val="00181A4A"/>
    <w:rsid w:val="00181B20"/>
    <w:rsid w:val="00181D2F"/>
    <w:rsid w:val="00181EBC"/>
    <w:rsid w:val="00182078"/>
    <w:rsid w:val="001821AD"/>
    <w:rsid w:val="001821C8"/>
    <w:rsid w:val="0018220F"/>
    <w:rsid w:val="001823F1"/>
    <w:rsid w:val="00182404"/>
    <w:rsid w:val="00182784"/>
    <w:rsid w:val="0018280F"/>
    <w:rsid w:val="00182813"/>
    <w:rsid w:val="00182995"/>
    <w:rsid w:val="00182B9F"/>
    <w:rsid w:val="00182CD1"/>
    <w:rsid w:val="00182D55"/>
    <w:rsid w:val="0018303D"/>
    <w:rsid w:val="0018308F"/>
    <w:rsid w:val="00183103"/>
    <w:rsid w:val="0018318D"/>
    <w:rsid w:val="0018330A"/>
    <w:rsid w:val="0018330C"/>
    <w:rsid w:val="00183380"/>
    <w:rsid w:val="00183503"/>
    <w:rsid w:val="00183558"/>
    <w:rsid w:val="00183AE0"/>
    <w:rsid w:val="00183AF3"/>
    <w:rsid w:val="00183C36"/>
    <w:rsid w:val="00183C8F"/>
    <w:rsid w:val="00183DA0"/>
    <w:rsid w:val="00183DB0"/>
    <w:rsid w:val="00183E19"/>
    <w:rsid w:val="00183EDE"/>
    <w:rsid w:val="001841A8"/>
    <w:rsid w:val="001841DF"/>
    <w:rsid w:val="00184279"/>
    <w:rsid w:val="00184370"/>
    <w:rsid w:val="00184591"/>
    <w:rsid w:val="001846CF"/>
    <w:rsid w:val="001849FE"/>
    <w:rsid w:val="00184A00"/>
    <w:rsid w:val="00184AA9"/>
    <w:rsid w:val="00184B7C"/>
    <w:rsid w:val="00184BFA"/>
    <w:rsid w:val="00184C69"/>
    <w:rsid w:val="00184DB8"/>
    <w:rsid w:val="00184DC3"/>
    <w:rsid w:val="00184E17"/>
    <w:rsid w:val="00184E81"/>
    <w:rsid w:val="00184EAB"/>
    <w:rsid w:val="001850BA"/>
    <w:rsid w:val="00185106"/>
    <w:rsid w:val="001853B4"/>
    <w:rsid w:val="001853BF"/>
    <w:rsid w:val="0018565E"/>
    <w:rsid w:val="00185731"/>
    <w:rsid w:val="00185DC1"/>
    <w:rsid w:val="0018604A"/>
    <w:rsid w:val="0018610F"/>
    <w:rsid w:val="0018617A"/>
    <w:rsid w:val="001861DE"/>
    <w:rsid w:val="00186217"/>
    <w:rsid w:val="001862B9"/>
    <w:rsid w:val="00186474"/>
    <w:rsid w:val="0018654D"/>
    <w:rsid w:val="00186587"/>
    <w:rsid w:val="0018678C"/>
    <w:rsid w:val="00186B09"/>
    <w:rsid w:val="00186D88"/>
    <w:rsid w:val="0018711B"/>
    <w:rsid w:val="00187366"/>
    <w:rsid w:val="0018786D"/>
    <w:rsid w:val="001878C9"/>
    <w:rsid w:val="0018798F"/>
    <w:rsid w:val="00187AA1"/>
    <w:rsid w:val="00187C9C"/>
    <w:rsid w:val="00187CDD"/>
    <w:rsid w:val="00187F8D"/>
    <w:rsid w:val="00190042"/>
    <w:rsid w:val="00190043"/>
    <w:rsid w:val="001900E0"/>
    <w:rsid w:val="0019093A"/>
    <w:rsid w:val="00190DE3"/>
    <w:rsid w:val="00190DFE"/>
    <w:rsid w:val="0019101A"/>
    <w:rsid w:val="00191044"/>
    <w:rsid w:val="001910C7"/>
    <w:rsid w:val="00191471"/>
    <w:rsid w:val="00191695"/>
    <w:rsid w:val="0019169F"/>
    <w:rsid w:val="001918EE"/>
    <w:rsid w:val="00191A9E"/>
    <w:rsid w:val="00191B23"/>
    <w:rsid w:val="00191BED"/>
    <w:rsid w:val="00191C9B"/>
    <w:rsid w:val="00191F1F"/>
    <w:rsid w:val="00192036"/>
    <w:rsid w:val="00192174"/>
    <w:rsid w:val="00192290"/>
    <w:rsid w:val="001924C3"/>
    <w:rsid w:val="001925C5"/>
    <w:rsid w:val="0019264C"/>
    <w:rsid w:val="00192690"/>
    <w:rsid w:val="00192745"/>
    <w:rsid w:val="00192A95"/>
    <w:rsid w:val="00192C6B"/>
    <w:rsid w:val="00192E93"/>
    <w:rsid w:val="00192E9D"/>
    <w:rsid w:val="00193024"/>
    <w:rsid w:val="001931AD"/>
    <w:rsid w:val="001932A9"/>
    <w:rsid w:val="001932F7"/>
    <w:rsid w:val="001933D0"/>
    <w:rsid w:val="0019342E"/>
    <w:rsid w:val="00193448"/>
    <w:rsid w:val="00193511"/>
    <w:rsid w:val="00193631"/>
    <w:rsid w:val="00193852"/>
    <w:rsid w:val="00193937"/>
    <w:rsid w:val="00193A7C"/>
    <w:rsid w:val="00193C16"/>
    <w:rsid w:val="00194343"/>
    <w:rsid w:val="00194431"/>
    <w:rsid w:val="00194458"/>
    <w:rsid w:val="00194547"/>
    <w:rsid w:val="00194641"/>
    <w:rsid w:val="00194724"/>
    <w:rsid w:val="0019472D"/>
    <w:rsid w:val="00194810"/>
    <w:rsid w:val="00194826"/>
    <w:rsid w:val="0019495A"/>
    <w:rsid w:val="00194A5D"/>
    <w:rsid w:val="00194A90"/>
    <w:rsid w:val="00194AE9"/>
    <w:rsid w:val="00194B78"/>
    <w:rsid w:val="00194C7C"/>
    <w:rsid w:val="00195014"/>
    <w:rsid w:val="001950FB"/>
    <w:rsid w:val="0019520D"/>
    <w:rsid w:val="00195214"/>
    <w:rsid w:val="0019537A"/>
    <w:rsid w:val="00195417"/>
    <w:rsid w:val="0019588B"/>
    <w:rsid w:val="00195C8E"/>
    <w:rsid w:val="00195D74"/>
    <w:rsid w:val="00195DF1"/>
    <w:rsid w:val="00195EB0"/>
    <w:rsid w:val="00195FA6"/>
    <w:rsid w:val="00196034"/>
    <w:rsid w:val="0019622F"/>
    <w:rsid w:val="0019675E"/>
    <w:rsid w:val="001967A1"/>
    <w:rsid w:val="001968C6"/>
    <w:rsid w:val="0019692A"/>
    <w:rsid w:val="00196A0D"/>
    <w:rsid w:val="00196A7D"/>
    <w:rsid w:val="00196B88"/>
    <w:rsid w:val="00196EB0"/>
    <w:rsid w:val="00196EC5"/>
    <w:rsid w:val="00196FA9"/>
    <w:rsid w:val="00197042"/>
    <w:rsid w:val="001972D2"/>
    <w:rsid w:val="001975BE"/>
    <w:rsid w:val="001977F3"/>
    <w:rsid w:val="0019793D"/>
    <w:rsid w:val="001979FA"/>
    <w:rsid w:val="00197A9A"/>
    <w:rsid w:val="00197AD1"/>
    <w:rsid w:val="00197BD9"/>
    <w:rsid w:val="00197DA2"/>
    <w:rsid w:val="00197ECB"/>
    <w:rsid w:val="001A01B6"/>
    <w:rsid w:val="001A01DF"/>
    <w:rsid w:val="001A0210"/>
    <w:rsid w:val="001A0284"/>
    <w:rsid w:val="001A02D7"/>
    <w:rsid w:val="001A041E"/>
    <w:rsid w:val="001A04C7"/>
    <w:rsid w:val="001A0521"/>
    <w:rsid w:val="001A0624"/>
    <w:rsid w:val="001A0861"/>
    <w:rsid w:val="001A0A67"/>
    <w:rsid w:val="001A0C21"/>
    <w:rsid w:val="001A0DBD"/>
    <w:rsid w:val="001A0FDD"/>
    <w:rsid w:val="001A1098"/>
    <w:rsid w:val="001A115D"/>
    <w:rsid w:val="001A11FB"/>
    <w:rsid w:val="001A11FE"/>
    <w:rsid w:val="001A1203"/>
    <w:rsid w:val="001A1282"/>
    <w:rsid w:val="001A1296"/>
    <w:rsid w:val="001A1320"/>
    <w:rsid w:val="001A138C"/>
    <w:rsid w:val="001A16F5"/>
    <w:rsid w:val="001A16FE"/>
    <w:rsid w:val="001A181F"/>
    <w:rsid w:val="001A196D"/>
    <w:rsid w:val="001A1A3F"/>
    <w:rsid w:val="001A1A53"/>
    <w:rsid w:val="001A1B28"/>
    <w:rsid w:val="001A1BF9"/>
    <w:rsid w:val="001A1E0D"/>
    <w:rsid w:val="001A1F84"/>
    <w:rsid w:val="001A204B"/>
    <w:rsid w:val="001A2205"/>
    <w:rsid w:val="001A2930"/>
    <w:rsid w:val="001A2AE5"/>
    <w:rsid w:val="001A2C1B"/>
    <w:rsid w:val="001A2C74"/>
    <w:rsid w:val="001A2E26"/>
    <w:rsid w:val="001A2E8F"/>
    <w:rsid w:val="001A2F1C"/>
    <w:rsid w:val="001A33D8"/>
    <w:rsid w:val="001A3742"/>
    <w:rsid w:val="001A377C"/>
    <w:rsid w:val="001A38BA"/>
    <w:rsid w:val="001A39F0"/>
    <w:rsid w:val="001A3A48"/>
    <w:rsid w:val="001A3B0B"/>
    <w:rsid w:val="001A3C60"/>
    <w:rsid w:val="001A3CF3"/>
    <w:rsid w:val="001A3FCE"/>
    <w:rsid w:val="001A4219"/>
    <w:rsid w:val="001A4415"/>
    <w:rsid w:val="001A4487"/>
    <w:rsid w:val="001A480F"/>
    <w:rsid w:val="001A4C59"/>
    <w:rsid w:val="001A4FB4"/>
    <w:rsid w:val="001A501E"/>
    <w:rsid w:val="001A5155"/>
    <w:rsid w:val="001A520B"/>
    <w:rsid w:val="001A525B"/>
    <w:rsid w:val="001A525C"/>
    <w:rsid w:val="001A52A1"/>
    <w:rsid w:val="001A540F"/>
    <w:rsid w:val="001A54D3"/>
    <w:rsid w:val="001A5812"/>
    <w:rsid w:val="001A58AC"/>
    <w:rsid w:val="001A5C99"/>
    <w:rsid w:val="001A5F1E"/>
    <w:rsid w:val="001A5FEB"/>
    <w:rsid w:val="001A6010"/>
    <w:rsid w:val="001A603B"/>
    <w:rsid w:val="001A6127"/>
    <w:rsid w:val="001A6137"/>
    <w:rsid w:val="001A618E"/>
    <w:rsid w:val="001A641D"/>
    <w:rsid w:val="001A6475"/>
    <w:rsid w:val="001A66E5"/>
    <w:rsid w:val="001A694A"/>
    <w:rsid w:val="001A6B33"/>
    <w:rsid w:val="001A6C6F"/>
    <w:rsid w:val="001A6D8C"/>
    <w:rsid w:val="001A6F31"/>
    <w:rsid w:val="001A6FBB"/>
    <w:rsid w:val="001A702A"/>
    <w:rsid w:val="001A708E"/>
    <w:rsid w:val="001A72D0"/>
    <w:rsid w:val="001A73EB"/>
    <w:rsid w:val="001A7519"/>
    <w:rsid w:val="001A7669"/>
    <w:rsid w:val="001A7797"/>
    <w:rsid w:val="001A79B2"/>
    <w:rsid w:val="001A7BF8"/>
    <w:rsid w:val="001A7D4D"/>
    <w:rsid w:val="001A7DF0"/>
    <w:rsid w:val="001A7E14"/>
    <w:rsid w:val="001A7EEA"/>
    <w:rsid w:val="001B0055"/>
    <w:rsid w:val="001B00F5"/>
    <w:rsid w:val="001B00F9"/>
    <w:rsid w:val="001B0114"/>
    <w:rsid w:val="001B0260"/>
    <w:rsid w:val="001B0401"/>
    <w:rsid w:val="001B04A6"/>
    <w:rsid w:val="001B04CA"/>
    <w:rsid w:val="001B0587"/>
    <w:rsid w:val="001B05F8"/>
    <w:rsid w:val="001B073F"/>
    <w:rsid w:val="001B07D3"/>
    <w:rsid w:val="001B0834"/>
    <w:rsid w:val="001B090D"/>
    <w:rsid w:val="001B090E"/>
    <w:rsid w:val="001B0944"/>
    <w:rsid w:val="001B0BE8"/>
    <w:rsid w:val="001B0C4D"/>
    <w:rsid w:val="001B0C7B"/>
    <w:rsid w:val="001B0D03"/>
    <w:rsid w:val="001B0D9F"/>
    <w:rsid w:val="001B1139"/>
    <w:rsid w:val="001B11F4"/>
    <w:rsid w:val="001B1365"/>
    <w:rsid w:val="001B13ED"/>
    <w:rsid w:val="001B144F"/>
    <w:rsid w:val="001B1857"/>
    <w:rsid w:val="001B18E0"/>
    <w:rsid w:val="001B1915"/>
    <w:rsid w:val="001B197F"/>
    <w:rsid w:val="001B19C4"/>
    <w:rsid w:val="001B1A7A"/>
    <w:rsid w:val="001B1B8C"/>
    <w:rsid w:val="001B1F67"/>
    <w:rsid w:val="001B1F7A"/>
    <w:rsid w:val="001B23F1"/>
    <w:rsid w:val="001B2432"/>
    <w:rsid w:val="001B2478"/>
    <w:rsid w:val="001B2A7B"/>
    <w:rsid w:val="001B2A8C"/>
    <w:rsid w:val="001B2C40"/>
    <w:rsid w:val="001B2E32"/>
    <w:rsid w:val="001B2F5B"/>
    <w:rsid w:val="001B305A"/>
    <w:rsid w:val="001B3141"/>
    <w:rsid w:val="001B3259"/>
    <w:rsid w:val="001B390A"/>
    <w:rsid w:val="001B3A4D"/>
    <w:rsid w:val="001B3A7F"/>
    <w:rsid w:val="001B3E57"/>
    <w:rsid w:val="001B3F9B"/>
    <w:rsid w:val="001B3FC7"/>
    <w:rsid w:val="001B3FD7"/>
    <w:rsid w:val="001B40CE"/>
    <w:rsid w:val="001B43EF"/>
    <w:rsid w:val="001B453B"/>
    <w:rsid w:val="001B47AB"/>
    <w:rsid w:val="001B47FC"/>
    <w:rsid w:val="001B50D9"/>
    <w:rsid w:val="001B53C2"/>
    <w:rsid w:val="001B546C"/>
    <w:rsid w:val="001B54FC"/>
    <w:rsid w:val="001B5547"/>
    <w:rsid w:val="001B56EF"/>
    <w:rsid w:val="001B5772"/>
    <w:rsid w:val="001B5809"/>
    <w:rsid w:val="001B5846"/>
    <w:rsid w:val="001B5BD8"/>
    <w:rsid w:val="001B5CA0"/>
    <w:rsid w:val="001B5CBE"/>
    <w:rsid w:val="001B5D5C"/>
    <w:rsid w:val="001B5F1A"/>
    <w:rsid w:val="001B602B"/>
    <w:rsid w:val="001B6034"/>
    <w:rsid w:val="001B61B4"/>
    <w:rsid w:val="001B6213"/>
    <w:rsid w:val="001B6246"/>
    <w:rsid w:val="001B653C"/>
    <w:rsid w:val="001B67A3"/>
    <w:rsid w:val="001B67C6"/>
    <w:rsid w:val="001B6869"/>
    <w:rsid w:val="001B68CD"/>
    <w:rsid w:val="001B6A9C"/>
    <w:rsid w:val="001B6B9E"/>
    <w:rsid w:val="001B73A3"/>
    <w:rsid w:val="001B74EC"/>
    <w:rsid w:val="001B7629"/>
    <w:rsid w:val="001B7698"/>
    <w:rsid w:val="001B7933"/>
    <w:rsid w:val="001B7A3A"/>
    <w:rsid w:val="001B7B26"/>
    <w:rsid w:val="001B7CC4"/>
    <w:rsid w:val="001B7E8A"/>
    <w:rsid w:val="001C0098"/>
    <w:rsid w:val="001C0561"/>
    <w:rsid w:val="001C057C"/>
    <w:rsid w:val="001C05DA"/>
    <w:rsid w:val="001C065D"/>
    <w:rsid w:val="001C07A6"/>
    <w:rsid w:val="001C081B"/>
    <w:rsid w:val="001C0861"/>
    <w:rsid w:val="001C0941"/>
    <w:rsid w:val="001C0AB3"/>
    <w:rsid w:val="001C0AFF"/>
    <w:rsid w:val="001C0BDB"/>
    <w:rsid w:val="001C0D53"/>
    <w:rsid w:val="001C0F8B"/>
    <w:rsid w:val="001C101F"/>
    <w:rsid w:val="001C12D9"/>
    <w:rsid w:val="001C13A1"/>
    <w:rsid w:val="001C1419"/>
    <w:rsid w:val="001C14FD"/>
    <w:rsid w:val="001C1658"/>
    <w:rsid w:val="001C171C"/>
    <w:rsid w:val="001C1939"/>
    <w:rsid w:val="001C1974"/>
    <w:rsid w:val="001C1A42"/>
    <w:rsid w:val="001C1A6D"/>
    <w:rsid w:val="001C1BD6"/>
    <w:rsid w:val="001C1E53"/>
    <w:rsid w:val="001C1FC8"/>
    <w:rsid w:val="001C2061"/>
    <w:rsid w:val="001C206F"/>
    <w:rsid w:val="001C2080"/>
    <w:rsid w:val="001C2256"/>
    <w:rsid w:val="001C266C"/>
    <w:rsid w:val="001C29A5"/>
    <w:rsid w:val="001C2FF5"/>
    <w:rsid w:val="001C31A8"/>
    <w:rsid w:val="001C33EA"/>
    <w:rsid w:val="001C342D"/>
    <w:rsid w:val="001C3510"/>
    <w:rsid w:val="001C358D"/>
    <w:rsid w:val="001C35CC"/>
    <w:rsid w:val="001C3615"/>
    <w:rsid w:val="001C3796"/>
    <w:rsid w:val="001C38E4"/>
    <w:rsid w:val="001C3ABC"/>
    <w:rsid w:val="001C3C98"/>
    <w:rsid w:val="001C3D42"/>
    <w:rsid w:val="001C3DFC"/>
    <w:rsid w:val="001C3F62"/>
    <w:rsid w:val="001C400A"/>
    <w:rsid w:val="001C40A0"/>
    <w:rsid w:val="001C4538"/>
    <w:rsid w:val="001C453F"/>
    <w:rsid w:val="001C4570"/>
    <w:rsid w:val="001C465C"/>
    <w:rsid w:val="001C4B01"/>
    <w:rsid w:val="001C4C2F"/>
    <w:rsid w:val="001C4CF4"/>
    <w:rsid w:val="001C500D"/>
    <w:rsid w:val="001C50EB"/>
    <w:rsid w:val="001C5429"/>
    <w:rsid w:val="001C5478"/>
    <w:rsid w:val="001C54D0"/>
    <w:rsid w:val="001C591C"/>
    <w:rsid w:val="001C5998"/>
    <w:rsid w:val="001C5A3F"/>
    <w:rsid w:val="001C5AB9"/>
    <w:rsid w:val="001C5BE8"/>
    <w:rsid w:val="001C5BF2"/>
    <w:rsid w:val="001C5C73"/>
    <w:rsid w:val="001C60BB"/>
    <w:rsid w:val="001C61FD"/>
    <w:rsid w:val="001C66FA"/>
    <w:rsid w:val="001C691C"/>
    <w:rsid w:val="001C69CB"/>
    <w:rsid w:val="001C6A39"/>
    <w:rsid w:val="001C6C49"/>
    <w:rsid w:val="001C6F02"/>
    <w:rsid w:val="001C6F7D"/>
    <w:rsid w:val="001C6F94"/>
    <w:rsid w:val="001C6FD1"/>
    <w:rsid w:val="001C701C"/>
    <w:rsid w:val="001C716D"/>
    <w:rsid w:val="001C73EA"/>
    <w:rsid w:val="001C77A1"/>
    <w:rsid w:val="001C77EB"/>
    <w:rsid w:val="001C7B49"/>
    <w:rsid w:val="001C7D3C"/>
    <w:rsid w:val="001C7EDE"/>
    <w:rsid w:val="001C7F1D"/>
    <w:rsid w:val="001C7F9B"/>
    <w:rsid w:val="001C7FA0"/>
    <w:rsid w:val="001C7FB0"/>
    <w:rsid w:val="001D019C"/>
    <w:rsid w:val="001D0596"/>
    <w:rsid w:val="001D0622"/>
    <w:rsid w:val="001D07D0"/>
    <w:rsid w:val="001D0AB2"/>
    <w:rsid w:val="001D0B3E"/>
    <w:rsid w:val="001D0C58"/>
    <w:rsid w:val="001D0C85"/>
    <w:rsid w:val="001D0D1F"/>
    <w:rsid w:val="001D1138"/>
    <w:rsid w:val="001D117F"/>
    <w:rsid w:val="001D1192"/>
    <w:rsid w:val="001D1584"/>
    <w:rsid w:val="001D15F8"/>
    <w:rsid w:val="001D17C0"/>
    <w:rsid w:val="001D17C1"/>
    <w:rsid w:val="001D1898"/>
    <w:rsid w:val="001D18CA"/>
    <w:rsid w:val="001D18F3"/>
    <w:rsid w:val="001D19A2"/>
    <w:rsid w:val="001D1CAE"/>
    <w:rsid w:val="001D1CB9"/>
    <w:rsid w:val="001D1D00"/>
    <w:rsid w:val="001D1F99"/>
    <w:rsid w:val="001D1F9C"/>
    <w:rsid w:val="001D204F"/>
    <w:rsid w:val="001D23AE"/>
    <w:rsid w:val="001D26A4"/>
    <w:rsid w:val="001D27C0"/>
    <w:rsid w:val="001D2AA6"/>
    <w:rsid w:val="001D2CFD"/>
    <w:rsid w:val="001D2DAE"/>
    <w:rsid w:val="001D2E10"/>
    <w:rsid w:val="001D3288"/>
    <w:rsid w:val="001D341D"/>
    <w:rsid w:val="001D3421"/>
    <w:rsid w:val="001D3528"/>
    <w:rsid w:val="001D37CF"/>
    <w:rsid w:val="001D3B18"/>
    <w:rsid w:val="001D3D22"/>
    <w:rsid w:val="001D3E58"/>
    <w:rsid w:val="001D3F73"/>
    <w:rsid w:val="001D3FA5"/>
    <w:rsid w:val="001D3FA8"/>
    <w:rsid w:val="001D4139"/>
    <w:rsid w:val="001D4226"/>
    <w:rsid w:val="001D430E"/>
    <w:rsid w:val="001D453F"/>
    <w:rsid w:val="001D46C0"/>
    <w:rsid w:val="001D46F2"/>
    <w:rsid w:val="001D5066"/>
    <w:rsid w:val="001D50B4"/>
    <w:rsid w:val="001D51AE"/>
    <w:rsid w:val="001D5337"/>
    <w:rsid w:val="001D538A"/>
    <w:rsid w:val="001D5685"/>
    <w:rsid w:val="001D5C75"/>
    <w:rsid w:val="001D5CAE"/>
    <w:rsid w:val="001D6125"/>
    <w:rsid w:val="001D6398"/>
    <w:rsid w:val="001D6505"/>
    <w:rsid w:val="001D657E"/>
    <w:rsid w:val="001D6A66"/>
    <w:rsid w:val="001D6AA4"/>
    <w:rsid w:val="001D6AD7"/>
    <w:rsid w:val="001D6C9E"/>
    <w:rsid w:val="001D6EAF"/>
    <w:rsid w:val="001D6FBE"/>
    <w:rsid w:val="001D7023"/>
    <w:rsid w:val="001D714B"/>
    <w:rsid w:val="001D717F"/>
    <w:rsid w:val="001D74F4"/>
    <w:rsid w:val="001D750E"/>
    <w:rsid w:val="001D7644"/>
    <w:rsid w:val="001D774A"/>
    <w:rsid w:val="001D785F"/>
    <w:rsid w:val="001D7C0E"/>
    <w:rsid w:val="001D7DA2"/>
    <w:rsid w:val="001D7EB8"/>
    <w:rsid w:val="001E007B"/>
    <w:rsid w:val="001E0263"/>
    <w:rsid w:val="001E0333"/>
    <w:rsid w:val="001E033B"/>
    <w:rsid w:val="001E03A4"/>
    <w:rsid w:val="001E042A"/>
    <w:rsid w:val="001E056D"/>
    <w:rsid w:val="001E05E1"/>
    <w:rsid w:val="001E0771"/>
    <w:rsid w:val="001E0825"/>
    <w:rsid w:val="001E095A"/>
    <w:rsid w:val="001E0C09"/>
    <w:rsid w:val="001E0D92"/>
    <w:rsid w:val="001E121E"/>
    <w:rsid w:val="001E1412"/>
    <w:rsid w:val="001E164C"/>
    <w:rsid w:val="001E169A"/>
    <w:rsid w:val="001E16F6"/>
    <w:rsid w:val="001E1A7D"/>
    <w:rsid w:val="001E1EBE"/>
    <w:rsid w:val="001E217A"/>
    <w:rsid w:val="001E21F1"/>
    <w:rsid w:val="001E231A"/>
    <w:rsid w:val="001E232D"/>
    <w:rsid w:val="001E2471"/>
    <w:rsid w:val="001E2537"/>
    <w:rsid w:val="001E25A0"/>
    <w:rsid w:val="001E25BA"/>
    <w:rsid w:val="001E2759"/>
    <w:rsid w:val="001E28C5"/>
    <w:rsid w:val="001E2A9F"/>
    <w:rsid w:val="001E2CA0"/>
    <w:rsid w:val="001E2D9A"/>
    <w:rsid w:val="001E32F8"/>
    <w:rsid w:val="001E37B9"/>
    <w:rsid w:val="001E3879"/>
    <w:rsid w:val="001E3B07"/>
    <w:rsid w:val="001E3B63"/>
    <w:rsid w:val="001E3C46"/>
    <w:rsid w:val="001E3CE4"/>
    <w:rsid w:val="001E3F2A"/>
    <w:rsid w:val="001E3F73"/>
    <w:rsid w:val="001E42AB"/>
    <w:rsid w:val="001E448D"/>
    <w:rsid w:val="001E4756"/>
    <w:rsid w:val="001E4966"/>
    <w:rsid w:val="001E4B1B"/>
    <w:rsid w:val="001E4C29"/>
    <w:rsid w:val="001E4C2D"/>
    <w:rsid w:val="001E4D1B"/>
    <w:rsid w:val="001E4D50"/>
    <w:rsid w:val="001E4D88"/>
    <w:rsid w:val="001E4E21"/>
    <w:rsid w:val="001E4F37"/>
    <w:rsid w:val="001E5019"/>
    <w:rsid w:val="001E51C4"/>
    <w:rsid w:val="001E5316"/>
    <w:rsid w:val="001E537D"/>
    <w:rsid w:val="001E53F3"/>
    <w:rsid w:val="001E543C"/>
    <w:rsid w:val="001E554C"/>
    <w:rsid w:val="001E5711"/>
    <w:rsid w:val="001E5A03"/>
    <w:rsid w:val="001E5E06"/>
    <w:rsid w:val="001E5F3D"/>
    <w:rsid w:val="001E6040"/>
    <w:rsid w:val="001E6055"/>
    <w:rsid w:val="001E63BC"/>
    <w:rsid w:val="001E64D4"/>
    <w:rsid w:val="001E6586"/>
    <w:rsid w:val="001E66BB"/>
    <w:rsid w:val="001E699A"/>
    <w:rsid w:val="001E6E36"/>
    <w:rsid w:val="001E7001"/>
    <w:rsid w:val="001E719B"/>
    <w:rsid w:val="001E72F7"/>
    <w:rsid w:val="001E733C"/>
    <w:rsid w:val="001E749F"/>
    <w:rsid w:val="001E7851"/>
    <w:rsid w:val="001E78B2"/>
    <w:rsid w:val="001E7969"/>
    <w:rsid w:val="001E7D7A"/>
    <w:rsid w:val="001E7DDD"/>
    <w:rsid w:val="001E7E12"/>
    <w:rsid w:val="001E7E52"/>
    <w:rsid w:val="001F00B4"/>
    <w:rsid w:val="001F0217"/>
    <w:rsid w:val="001F02BE"/>
    <w:rsid w:val="001F0454"/>
    <w:rsid w:val="001F0481"/>
    <w:rsid w:val="001F0506"/>
    <w:rsid w:val="001F06FF"/>
    <w:rsid w:val="001F0C26"/>
    <w:rsid w:val="001F0C34"/>
    <w:rsid w:val="001F0CED"/>
    <w:rsid w:val="001F0EF5"/>
    <w:rsid w:val="001F13E1"/>
    <w:rsid w:val="001F14CA"/>
    <w:rsid w:val="001F1595"/>
    <w:rsid w:val="001F15A3"/>
    <w:rsid w:val="001F1774"/>
    <w:rsid w:val="001F188E"/>
    <w:rsid w:val="001F1AD0"/>
    <w:rsid w:val="001F1B27"/>
    <w:rsid w:val="001F1C5B"/>
    <w:rsid w:val="001F1E53"/>
    <w:rsid w:val="001F1E81"/>
    <w:rsid w:val="001F1EF0"/>
    <w:rsid w:val="001F1EF3"/>
    <w:rsid w:val="001F224C"/>
    <w:rsid w:val="001F2479"/>
    <w:rsid w:val="001F2729"/>
    <w:rsid w:val="001F28FA"/>
    <w:rsid w:val="001F294F"/>
    <w:rsid w:val="001F2A65"/>
    <w:rsid w:val="001F2B83"/>
    <w:rsid w:val="001F2D05"/>
    <w:rsid w:val="001F2F13"/>
    <w:rsid w:val="001F3156"/>
    <w:rsid w:val="001F3160"/>
    <w:rsid w:val="001F3183"/>
    <w:rsid w:val="001F32B6"/>
    <w:rsid w:val="001F33EC"/>
    <w:rsid w:val="001F34D4"/>
    <w:rsid w:val="001F353F"/>
    <w:rsid w:val="001F361A"/>
    <w:rsid w:val="001F3797"/>
    <w:rsid w:val="001F399F"/>
    <w:rsid w:val="001F3A16"/>
    <w:rsid w:val="001F3A6C"/>
    <w:rsid w:val="001F3B96"/>
    <w:rsid w:val="001F3CA4"/>
    <w:rsid w:val="001F3D83"/>
    <w:rsid w:val="001F3FAF"/>
    <w:rsid w:val="001F3FD3"/>
    <w:rsid w:val="001F402F"/>
    <w:rsid w:val="001F4588"/>
    <w:rsid w:val="001F45E6"/>
    <w:rsid w:val="001F4662"/>
    <w:rsid w:val="001F4678"/>
    <w:rsid w:val="001F46A9"/>
    <w:rsid w:val="001F46D3"/>
    <w:rsid w:val="001F4702"/>
    <w:rsid w:val="001F4C07"/>
    <w:rsid w:val="001F4D18"/>
    <w:rsid w:val="001F4FD0"/>
    <w:rsid w:val="001F5021"/>
    <w:rsid w:val="001F507B"/>
    <w:rsid w:val="001F51AB"/>
    <w:rsid w:val="001F5293"/>
    <w:rsid w:val="001F56D2"/>
    <w:rsid w:val="001F5741"/>
    <w:rsid w:val="001F579B"/>
    <w:rsid w:val="001F5B22"/>
    <w:rsid w:val="001F5D44"/>
    <w:rsid w:val="001F5D4A"/>
    <w:rsid w:val="001F5E89"/>
    <w:rsid w:val="001F6221"/>
    <w:rsid w:val="001F6442"/>
    <w:rsid w:val="001F64AC"/>
    <w:rsid w:val="001F6E90"/>
    <w:rsid w:val="001F7024"/>
    <w:rsid w:val="001F70B7"/>
    <w:rsid w:val="001F74F6"/>
    <w:rsid w:val="001F758A"/>
    <w:rsid w:val="001F759E"/>
    <w:rsid w:val="001F75AC"/>
    <w:rsid w:val="001F771B"/>
    <w:rsid w:val="001F778B"/>
    <w:rsid w:val="001F7B19"/>
    <w:rsid w:val="001F7D0F"/>
    <w:rsid w:val="001F7D76"/>
    <w:rsid w:val="001F7E2A"/>
    <w:rsid w:val="001F7F73"/>
    <w:rsid w:val="00200027"/>
    <w:rsid w:val="002001E7"/>
    <w:rsid w:val="0020037B"/>
    <w:rsid w:val="0020047D"/>
    <w:rsid w:val="002004D5"/>
    <w:rsid w:val="002005B5"/>
    <w:rsid w:val="00200637"/>
    <w:rsid w:val="00200960"/>
    <w:rsid w:val="002009A0"/>
    <w:rsid w:val="00200AF9"/>
    <w:rsid w:val="00201011"/>
    <w:rsid w:val="00201057"/>
    <w:rsid w:val="00201129"/>
    <w:rsid w:val="0020133E"/>
    <w:rsid w:val="002017FB"/>
    <w:rsid w:val="00201838"/>
    <w:rsid w:val="00201864"/>
    <w:rsid w:val="002019BC"/>
    <w:rsid w:val="00201C35"/>
    <w:rsid w:val="00201E51"/>
    <w:rsid w:val="00202223"/>
    <w:rsid w:val="002022B1"/>
    <w:rsid w:val="002022CD"/>
    <w:rsid w:val="002022F8"/>
    <w:rsid w:val="002026BB"/>
    <w:rsid w:val="00202759"/>
    <w:rsid w:val="00202ADE"/>
    <w:rsid w:val="00202D31"/>
    <w:rsid w:val="00202DC3"/>
    <w:rsid w:val="00202FFF"/>
    <w:rsid w:val="002038A0"/>
    <w:rsid w:val="002039A3"/>
    <w:rsid w:val="002042EF"/>
    <w:rsid w:val="0020457E"/>
    <w:rsid w:val="00204733"/>
    <w:rsid w:val="00204934"/>
    <w:rsid w:val="00204A89"/>
    <w:rsid w:val="00204C79"/>
    <w:rsid w:val="00204E53"/>
    <w:rsid w:val="0020502F"/>
    <w:rsid w:val="00205056"/>
    <w:rsid w:val="002050CD"/>
    <w:rsid w:val="0020556D"/>
    <w:rsid w:val="002055B3"/>
    <w:rsid w:val="002055FF"/>
    <w:rsid w:val="0020564C"/>
    <w:rsid w:val="002057BA"/>
    <w:rsid w:val="00205BAB"/>
    <w:rsid w:val="00205D48"/>
    <w:rsid w:val="00205E3E"/>
    <w:rsid w:val="00205FA3"/>
    <w:rsid w:val="0020606F"/>
    <w:rsid w:val="002061B1"/>
    <w:rsid w:val="00206513"/>
    <w:rsid w:val="002065C0"/>
    <w:rsid w:val="00206612"/>
    <w:rsid w:val="002067A0"/>
    <w:rsid w:val="0020686D"/>
    <w:rsid w:val="00206AF1"/>
    <w:rsid w:val="00206B03"/>
    <w:rsid w:val="00206C65"/>
    <w:rsid w:val="00206D37"/>
    <w:rsid w:val="002073CD"/>
    <w:rsid w:val="00207413"/>
    <w:rsid w:val="0020753C"/>
    <w:rsid w:val="0020760D"/>
    <w:rsid w:val="0020763B"/>
    <w:rsid w:val="002078B2"/>
    <w:rsid w:val="0020799A"/>
    <w:rsid w:val="00207EEB"/>
    <w:rsid w:val="00210183"/>
    <w:rsid w:val="002102C8"/>
    <w:rsid w:val="00210347"/>
    <w:rsid w:val="00210392"/>
    <w:rsid w:val="002105D2"/>
    <w:rsid w:val="002106C8"/>
    <w:rsid w:val="002106FD"/>
    <w:rsid w:val="00210A02"/>
    <w:rsid w:val="00210A29"/>
    <w:rsid w:val="00210B97"/>
    <w:rsid w:val="00210C68"/>
    <w:rsid w:val="00210C76"/>
    <w:rsid w:val="00211079"/>
    <w:rsid w:val="002110E1"/>
    <w:rsid w:val="002113BF"/>
    <w:rsid w:val="0021158B"/>
    <w:rsid w:val="002115AD"/>
    <w:rsid w:val="00211799"/>
    <w:rsid w:val="0021192F"/>
    <w:rsid w:val="0021198B"/>
    <w:rsid w:val="00211C3D"/>
    <w:rsid w:val="0021205C"/>
    <w:rsid w:val="002121E8"/>
    <w:rsid w:val="002122D7"/>
    <w:rsid w:val="0021233E"/>
    <w:rsid w:val="00212357"/>
    <w:rsid w:val="00212474"/>
    <w:rsid w:val="0021263A"/>
    <w:rsid w:val="00212718"/>
    <w:rsid w:val="00212A1C"/>
    <w:rsid w:val="00212C48"/>
    <w:rsid w:val="00212CE3"/>
    <w:rsid w:val="00213065"/>
    <w:rsid w:val="002130A4"/>
    <w:rsid w:val="002130F9"/>
    <w:rsid w:val="0021315A"/>
    <w:rsid w:val="00213392"/>
    <w:rsid w:val="002133F4"/>
    <w:rsid w:val="0021383A"/>
    <w:rsid w:val="002138E3"/>
    <w:rsid w:val="002139DC"/>
    <w:rsid w:val="00213B43"/>
    <w:rsid w:val="00213D49"/>
    <w:rsid w:val="00213E25"/>
    <w:rsid w:val="00213EB8"/>
    <w:rsid w:val="00214129"/>
    <w:rsid w:val="00214209"/>
    <w:rsid w:val="002142B0"/>
    <w:rsid w:val="0021447A"/>
    <w:rsid w:val="00214774"/>
    <w:rsid w:val="002147CE"/>
    <w:rsid w:val="002148A7"/>
    <w:rsid w:val="002148C2"/>
    <w:rsid w:val="00214911"/>
    <w:rsid w:val="00214A68"/>
    <w:rsid w:val="00214CEE"/>
    <w:rsid w:val="00214D71"/>
    <w:rsid w:val="00214D91"/>
    <w:rsid w:val="00214DD6"/>
    <w:rsid w:val="00214F40"/>
    <w:rsid w:val="00215070"/>
    <w:rsid w:val="002151FB"/>
    <w:rsid w:val="0021555C"/>
    <w:rsid w:val="0021586C"/>
    <w:rsid w:val="002159B6"/>
    <w:rsid w:val="00215AA4"/>
    <w:rsid w:val="00215B49"/>
    <w:rsid w:val="00215B68"/>
    <w:rsid w:val="00215E7C"/>
    <w:rsid w:val="00215F1D"/>
    <w:rsid w:val="00216149"/>
    <w:rsid w:val="0021692D"/>
    <w:rsid w:val="0021696B"/>
    <w:rsid w:val="00216A8D"/>
    <w:rsid w:val="00216F24"/>
    <w:rsid w:val="0021716B"/>
    <w:rsid w:val="002175AB"/>
    <w:rsid w:val="002176B9"/>
    <w:rsid w:val="0021786D"/>
    <w:rsid w:val="00217A49"/>
    <w:rsid w:val="00217D4D"/>
    <w:rsid w:val="00217DA8"/>
    <w:rsid w:val="00217E46"/>
    <w:rsid w:val="00217E4C"/>
    <w:rsid w:val="00220529"/>
    <w:rsid w:val="0022058B"/>
    <w:rsid w:val="0022072A"/>
    <w:rsid w:val="002208E1"/>
    <w:rsid w:val="00220BD7"/>
    <w:rsid w:val="00220C96"/>
    <w:rsid w:val="00220CBD"/>
    <w:rsid w:val="00220E0C"/>
    <w:rsid w:val="00220FDB"/>
    <w:rsid w:val="0022117D"/>
    <w:rsid w:val="0022126B"/>
    <w:rsid w:val="002212B3"/>
    <w:rsid w:val="002216F0"/>
    <w:rsid w:val="002218AF"/>
    <w:rsid w:val="0022194E"/>
    <w:rsid w:val="00221A64"/>
    <w:rsid w:val="00221AEB"/>
    <w:rsid w:val="00221D54"/>
    <w:rsid w:val="00221EC0"/>
    <w:rsid w:val="00221EC3"/>
    <w:rsid w:val="00221F4F"/>
    <w:rsid w:val="002221C6"/>
    <w:rsid w:val="00222225"/>
    <w:rsid w:val="002223F9"/>
    <w:rsid w:val="00222402"/>
    <w:rsid w:val="00222B24"/>
    <w:rsid w:val="00222BC6"/>
    <w:rsid w:val="00222C74"/>
    <w:rsid w:val="00222D07"/>
    <w:rsid w:val="00222E98"/>
    <w:rsid w:val="002231A9"/>
    <w:rsid w:val="002231BB"/>
    <w:rsid w:val="002233B9"/>
    <w:rsid w:val="002236AF"/>
    <w:rsid w:val="002236F8"/>
    <w:rsid w:val="0022391A"/>
    <w:rsid w:val="00223BF6"/>
    <w:rsid w:val="00223C6E"/>
    <w:rsid w:val="00223D0A"/>
    <w:rsid w:val="00223E9E"/>
    <w:rsid w:val="00224232"/>
    <w:rsid w:val="00224701"/>
    <w:rsid w:val="002248A5"/>
    <w:rsid w:val="00224AAA"/>
    <w:rsid w:val="00224CCB"/>
    <w:rsid w:val="00224E0E"/>
    <w:rsid w:val="00224FAB"/>
    <w:rsid w:val="00225178"/>
    <w:rsid w:val="002251F3"/>
    <w:rsid w:val="00225292"/>
    <w:rsid w:val="002252B1"/>
    <w:rsid w:val="002252DB"/>
    <w:rsid w:val="00225326"/>
    <w:rsid w:val="00225419"/>
    <w:rsid w:val="002256CE"/>
    <w:rsid w:val="002257D3"/>
    <w:rsid w:val="002259E1"/>
    <w:rsid w:val="00225B54"/>
    <w:rsid w:val="00225BBC"/>
    <w:rsid w:val="00225BC3"/>
    <w:rsid w:val="00225CF9"/>
    <w:rsid w:val="00225DBA"/>
    <w:rsid w:val="00225DD1"/>
    <w:rsid w:val="00225DE3"/>
    <w:rsid w:val="00225EA6"/>
    <w:rsid w:val="00225FE9"/>
    <w:rsid w:val="002260F5"/>
    <w:rsid w:val="002262DF"/>
    <w:rsid w:val="00226840"/>
    <w:rsid w:val="00226AD7"/>
    <w:rsid w:val="00226C54"/>
    <w:rsid w:val="00226C6B"/>
    <w:rsid w:val="00226C93"/>
    <w:rsid w:val="00226D05"/>
    <w:rsid w:val="00226D46"/>
    <w:rsid w:val="00226F8A"/>
    <w:rsid w:val="00226FC2"/>
    <w:rsid w:val="00227189"/>
    <w:rsid w:val="002272DA"/>
    <w:rsid w:val="002273FB"/>
    <w:rsid w:val="002274F8"/>
    <w:rsid w:val="002279B4"/>
    <w:rsid w:val="00227A59"/>
    <w:rsid w:val="00227AA0"/>
    <w:rsid w:val="00227B32"/>
    <w:rsid w:val="00227C34"/>
    <w:rsid w:val="00227C74"/>
    <w:rsid w:val="00230036"/>
    <w:rsid w:val="00230291"/>
    <w:rsid w:val="002305AA"/>
    <w:rsid w:val="00230743"/>
    <w:rsid w:val="002307BD"/>
    <w:rsid w:val="002307E7"/>
    <w:rsid w:val="0023082D"/>
    <w:rsid w:val="00230864"/>
    <w:rsid w:val="00230898"/>
    <w:rsid w:val="002309E9"/>
    <w:rsid w:val="00230E93"/>
    <w:rsid w:val="00230F7F"/>
    <w:rsid w:val="00231049"/>
    <w:rsid w:val="0023128B"/>
    <w:rsid w:val="002314D2"/>
    <w:rsid w:val="002315C6"/>
    <w:rsid w:val="00231680"/>
    <w:rsid w:val="002316E9"/>
    <w:rsid w:val="002316F7"/>
    <w:rsid w:val="002317A5"/>
    <w:rsid w:val="0023183B"/>
    <w:rsid w:val="0023198D"/>
    <w:rsid w:val="00231A08"/>
    <w:rsid w:val="00231B5D"/>
    <w:rsid w:val="00231C11"/>
    <w:rsid w:val="00231CB3"/>
    <w:rsid w:val="00231CCF"/>
    <w:rsid w:val="00231D29"/>
    <w:rsid w:val="00231EBD"/>
    <w:rsid w:val="00231F87"/>
    <w:rsid w:val="00231FB7"/>
    <w:rsid w:val="002320A3"/>
    <w:rsid w:val="00232219"/>
    <w:rsid w:val="00232890"/>
    <w:rsid w:val="00232B89"/>
    <w:rsid w:val="00232F3E"/>
    <w:rsid w:val="0023305C"/>
    <w:rsid w:val="002330DD"/>
    <w:rsid w:val="002331DC"/>
    <w:rsid w:val="00233391"/>
    <w:rsid w:val="0023339E"/>
    <w:rsid w:val="0023345F"/>
    <w:rsid w:val="002334C4"/>
    <w:rsid w:val="002336C9"/>
    <w:rsid w:val="00233BEF"/>
    <w:rsid w:val="00233C50"/>
    <w:rsid w:val="00233CF9"/>
    <w:rsid w:val="00233E21"/>
    <w:rsid w:val="0023431C"/>
    <w:rsid w:val="0023431F"/>
    <w:rsid w:val="00234397"/>
    <w:rsid w:val="002343C7"/>
    <w:rsid w:val="002344C2"/>
    <w:rsid w:val="00234877"/>
    <w:rsid w:val="002349E1"/>
    <w:rsid w:val="00234A10"/>
    <w:rsid w:val="00234BA6"/>
    <w:rsid w:val="00234C2B"/>
    <w:rsid w:val="00234C43"/>
    <w:rsid w:val="00234D20"/>
    <w:rsid w:val="00234DA1"/>
    <w:rsid w:val="00234E1D"/>
    <w:rsid w:val="00234EF9"/>
    <w:rsid w:val="002354EA"/>
    <w:rsid w:val="0023550E"/>
    <w:rsid w:val="002359BC"/>
    <w:rsid w:val="00235D12"/>
    <w:rsid w:val="00235E6F"/>
    <w:rsid w:val="00235F05"/>
    <w:rsid w:val="002361CA"/>
    <w:rsid w:val="00236311"/>
    <w:rsid w:val="0023634C"/>
    <w:rsid w:val="0023637F"/>
    <w:rsid w:val="0023639E"/>
    <w:rsid w:val="0023640A"/>
    <w:rsid w:val="00236475"/>
    <w:rsid w:val="002365D5"/>
    <w:rsid w:val="00236AB5"/>
    <w:rsid w:val="00236AFE"/>
    <w:rsid w:val="00236E6D"/>
    <w:rsid w:val="00236EDF"/>
    <w:rsid w:val="0023709D"/>
    <w:rsid w:val="002370CC"/>
    <w:rsid w:val="00237181"/>
    <w:rsid w:val="00237250"/>
    <w:rsid w:val="0023730A"/>
    <w:rsid w:val="002375B0"/>
    <w:rsid w:val="00237679"/>
    <w:rsid w:val="00237881"/>
    <w:rsid w:val="00237B3B"/>
    <w:rsid w:val="00237C39"/>
    <w:rsid w:val="00237F53"/>
    <w:rsid w:val="002402E2"/>
    <w:rsid w:val="0024064C"/>
    <w:rsid w:val="00240BF6"/>
    <w:rsid w:val="00240D92"/>
    <w:rsid w:val="00240DEC"/>
    <w:rsid w:val="00240E3C"/>
    <w:rsid w:val="00241014"/>
    <w:rsid w:val="0024102E"/>
    <w:rsid w:val="00241044"/>
    <w:rsid w:val="002410B0"/>
    <w:rsid w:val="0024146F"/>
    <w:rsid w:val="002416A5"/>
    <w:rsid w:val="00241881"/>
    <w:rsid w:val="00241D40"/>
    <w:rsid w:val="00241D7A"/>
    <w:rsid w:val="00241E4D"/>
    <w:rsid w:val="00241F8E"/>
    <w:rsid w:val="00242033"/>
    <w:rsid w:val="002420DB"/>
    <w:rsid w:val="00242193"/>
    <w:rsid w:val="002424F8"/>
    <w:rsid w:val="00242526"/>
    <w:rsid w:val="002426B5"/>
    <w:rsid w:val="002427B6"/>
    <w:rsid w:val="0024294C"/>
    <w:rsid w:val="00242B55"/>
    <w:rsid w:val="00242DAF"/>
    <w:rsid w:val="00242F4F"/>
    <w:rsid w:val="00243407"/>
    <w:rsid w:val="00243682"/>
    <w:rsid w:val="0024372D"/>
    <w:rsid w:val="00243800"/>
    <w:rsid w:val="00243922"/>
    <w:rsid w:val="002439B6"/>
    <w:rsid w:val="00243D22"/>
    <w:rsid w:val="00244064"/>
    <w:rsid w:val="00244155"/>
    <w:rsid w:val="00244186"/>
    <w:rsid w:val="002442AC"/>
    <w:rsid w:val="00244632"/>
    <w:rsid w:val="002448EC"/>
    <w:rsid w:val="00244931"/>
    <w:rsid w:val="00244957"/>
    <w:rsid w:val="00244AFC"/>
    <w:rsid w:val="00244C45"/>
    <w:rsid w:val="00244D44"/>
    <w:rsid w:val="00244E7F"/>
    <w:rsid w:val="00244F9F"/>
    <w:rsid w:val="00244FB6"/>
    <w:rsid w:val="00245079"/>
    <w:rsid w:val="002450F0"/>
    <w:rsid w:val="00245182"/>
    <w:rsid w:val="002451CC"/>
    <w:rsid w:val="00245286"/>
    <w:rsid w:val="0024529A"/>
    <w:rsid w:val="0024538F"/>
    <w:rsid w:val="002454E0"/>
    <w:rsid w:val="0024553C"/>
    <w:rsid w:val="0024572C"/>
    <w:rsid w:val="0024575E"/>
    <w:rsid w:val="002457E2"/>
    <w:rsid w:val="002458D9"/>
    <w:rsid w:val="00245B25"/>
    <w:rsid w:val="00245FCC"/>
    <w:rsid w:val="00245FEF"/>
    <w:rsid w:val="0024607A"/>
    <w:rsid w:val="002460D9"/>
    <w:rsid w:val="002461BA"/>
    <w:rsid w:val="00246486"/>
    <w:rsid w:val="002464BF"/>
    <w:rsid w:val="002466BB"/>
    <w:rsid w:val="0024676E"/>
    <w:rsid w:val="00246808"/>
    <w:rsid w:val="0024698D"/>
    <w:rsid w:val="00246C32"/>
    <w:rsid w:val="00246E46"/>
    <w:rsid w:val="00246EC6"/>
    <w:rsid w:val="00246FB1"/>
    <w:rsid w:val="00247029"/>
    <w:rsid w:val="0024723E"/>
    <w:rsid w:val="002474D7"/>
    <w:rsid w:val="0024751F"/>
    <w:rsid w:val="0024774C"/>
    <w:rsid w:val="00247D75"/>
    <w:rsid w:val="00247D7B"/>
    <w:rsid w:val="00247DFA"/>
    <w:rsid w:val="00247EBB"/>
    <w:rsid w:val="00250101"/>
    <w:rsid w:val="00250265"/>
    <w:rsid w:val="0025026E"/>
    <w:rsid w:val="00250573"/>
    <w:rsid w:val="002506E3"/>
    <w:rsid w:val="002508AE"/>
    <w:rsid w:val="0025090A"/>
    <w:rsid w:val="00250970"/>
    <w:rsid w:val="002509AA"/>
    <w:rsid w:val="00250AB1"/>
    <w:rsid w:val="00250AE7"/>
    <w:rsid w:val="00250EC5"/>
    <w:rsid w:val="00251030"/>
    <w:rsid w:val="00251054"/>
    <w:rsid w:val="00251225"/>
    <w:rsid w:val="002512B2"/>
    <w:rsid w:val="002512E9"/>
    <w:rsid w:val="002513FD"/>
    <w:rsid w:val="002514AC"/>
    <w:rsid w:val="002516C3"/>
    <w:rsid w:val="00251775"/>
    <w:rsid w:val="0025179E"/>
    <w:rsid w:val="002517EA"/>
    <w:rsid w:val="00251980"/>
    <w:rsid w:val="00251A57"/>
    <w:rsid w:val="00251AC6"/>
    <w:rsid w:val="00251AD6"/>
    <w:rsid w:val="00251BE2"/>
    <w:rsid w:val="00251EDE"/>
    <w:rsid w:val="00251F67"/>
    <w:rsid w:val="00251FEB"/>
    <w:rsid w:val="00252177"/>
    <w:rsid w:val="002521B8"/>
    <w:rsid w:val="00252479"/>
    <w:rsid w:val="00252795"/>
    <w:rsid w:val="002528CB"/>
    <w:rsid w:val="00252E49"/>
    <w:rsid w:val="00253359"/>
    <w:rsid w:val="00253605"/>
    <w:rsid w:val="0025379B"/>
    <w:rsid w:val="002537AA"/>
    <w:rsid w:val="002537C1"/>
    <w:rsid w:val="00253967"/>
    <w:rsid w:val="00253A94"/>
    <w:rsid w:val="00253C44"/>
    <w:rsid w:val="00253D25"/>
    <w:rsid w:val="00253E17"/>
    <w:rsid w:val="002542C9"/>
    <w:rsid w:val="0025437E"/>
    <w:rsid w:val="002543D0"/>
    <w:rsid w:val="002543D8"/>
    <w:rsid w:val="00254439"/>
    <w:rsid w:val="002544C0"/>
    <w:rsid w:val="00254556"/>
    <w:rsid w:val="002548E3"/>
    <w:rsid w:val="002548E9"/>
    <w:rsid w:val="0025495F"/>
    <w:rsid w:val="00254B25"/>
    <w:rsid w:val="00254D43"/>
    <w:rsid w:val="00255247"/>
    <w:rsid w:val="0025532E"/>
    <w:rsid w:val="00255493"/>
    <w:rsid w:val="002554CB"/>
    <w:rsid w:val="002554FD"/>
    <w:rsid w:val="002555C7"/>
    <w:rsid w:val="0025560C"/>
    <w:rsid w:val="00255A5B"/>
    <w:rsid w:val="00255B6F"/>
    <w:rsid w:val="00255BF5"/>
    <w:rsid w:val="00255D92"/>
    <w:rsid w:val="00255E01"/>
    <w:rsid w:val="00255E0F"/>
    <w:rsid w:val="00255FCA"/>
    <w:rsid w:val="00255FFB"/>
    <w:rsid w:val="0025611E"/>
    <w:rsid w:val="0025626A"/>
    <w:rsid w:val="002563E1"/>
    <w:rsid w:val="0025652F"/>
    <w:rsid w:val="00256BC5"/>
    <w:rsid w:val="00256D28"/>
    <w:rsid w:val="00256FFA"/>
    <w:rsid w:val="0025715D"/>
    <w:rsid w:val="00257212"/>
    <w:rsid w:val="00257339"/>
    <w:rsid w:val="00257442"/>
    <w:rsid w:val="00257510"/>
    <w:rsid w:val="00257556"/>
    <w:rsid w:val="002577B4"/>
    <w:rsid w:val="00257AC7"/>
    <w:rsid w:val="00257B90"/>
    <w:rsid w:val="00257D2E"/>
    <w:rsid w:val="00260019"/>
    <w:rsid w:val="00260467"/>
    <w:rsid w:val="002608E3"/>
    <w:rsid w:val="002609C4"/>
    <w:rsid w:val="00260A79"/>
    <w:rsid w:val="00260B00"/>
    <w:rsid w:val="00260BE5"/>
    <w:rsid w:val="00260C86"/>
    <w:rsid w:val="00260DEB"/>
    <w:rsid w:val="0026104E"/>
    <w:rsid w:val="002610FA"/>
    <w:rsid w:val="00261132"/>
    <w:rsid w:val="0026117E"/>
    <w:rsid w:val="0026126E"/>
    <w:rsid w:val="00261384"/>
    <w:rsid w:val="002614CF"/>
    <w:rsid w:val="0026154D"/>
    <w:rsid w:val="00261551"/>
    <w:rsid w:val="00261607"/>
    <w:rsid w:val="0026176C"/>
    <w:rsid w:val="0026198B"/>
    <w:rsid w:val="00261A55"/>
    <w:rsid w:val="00261B41"/>
    <w:rsid w:val="00261F94"/>
    <w:rsid w:val="0026228A"/>
    <w:rsid w:val="00262736"/>
    <w:rsid w:val="0026276C"/>
    <w:rsid w:val="00262772"/>
    <w:rsid w:val="002627CB"/>
    <w:rsid w:val="002628E0"/>
    <w:rsid w:val="00262A2E"/>
    <w:rsid w:val="00262A63"/>
    <w:rsid w:val="00262AA3"/>
    <w:rsid w:val="00262C4E"/>
    <w:rsid w:val="00262D38"/>
    <w:rsid w:val="00262D86"/>
    <w:rsid w:val="00262EB7"/>
    <w:rsid w:val="002630C6"/>
    <w:rsid w:val="00263266"/>
    <w:rsid w:val="0026349B"/>
    <w:rsid w:val="002636B0"/>
    <w:rsid w:val="00263B6C"/>
    <w:rsid w:val="00263DAB"/>
    <w:rsid w:val="00263EB4"/>
    <w:rsid w:val="00264191"/>
    <w:rsid w:val="002641AC"/>
    <w:rsid w:val="002645F0"/>
    <w:rsid w:val="002646A8"/>
    <w:rsid w:val="0026472B"/>
    <w:rsid w:val="0026473C"/>
    <w:rsid w:val="00264845"/>
    <w:rsid w:val="00264918"/>
    <w:rsid w:val="00264A66"/>
    <w:rsid w:val="00264B44"/>
    <w:rsid w:val="00264E71"/>
    <w:rsid w:val="00264E91"/>
    <w:rsid w:val="00264EC6"/>
    <w:rsid w:val="00265106"/>
    <w:rsid w:val="00265288"/>
    <w:rsid w:val="00265935"/>
    <w:rsid w:val="00265A57"/>
    <w:rsid w:val="00265A72"/>
    <w:rsid w:val="00265B10"/>
    <w:rsid w:val="00265B49"/>
    <w:rsid w:val="00266053"/>
    <w:rsid w:val="002661BA"/>
    <w:rsid w:val="00266242"/>
    <w:rsid w:val="0026628D"/>
    <w:rsid w:val="00266599"/>
    <w:rsid w:val="002665D6"/>
    <w:rsid w:val="00266698"/>
    <w:rsid w:val="0026683F"/>
    <w:rsid w:val="00266A81"/>
    <w:rsid w:val="00266B5F"/>
    <w:rsid w:val="00266BD5"/>
    <w:rsid w:val="00266D9F"/>
    <w:rsid w:val="00266FE5"/>
    <w:rsid w:val="00267017"/>
    <w:rsid w:val="00267039"/>
    <w:rsid w:val="002670EB"/>
    <w:rsid w:val="00267137"/>
    <w:rsid w:val="002671C4"/>
    <w:rsid w:val="00267381"/>
    <w:rsid w:val="0026741D"/>
    <w:rsid w:val="0026741F"/>
    <w:rsid w:val="0026761B"/>
    <w:rsid w:val="00267A79"/>
    <w:rsid w:val="00267CFE"/>
    <w:rsid w:val="00267E58"/>
    <w:rsid w:val="00267FAF"/>
    <w:rsid w:val="00270035"/>
    <w:rsid w:val="002700C8"/>
    <w:rsid w:val="00270109"/>
    <w:rsid w:val="0027021C"/>
    <w:rsid w:val="00270230"/>
    <w:rsid w:val="002703AB"/>
    <w:rsid w:val="00270436"/>
    <w:rsid w:val="002704FF"/>
    <w:rsid w:val="0027068D"/>
    <w:rsid w:val="002706CF"/>
    <w:rsid w:val="0027070B"/>
    <w:rsid w:val="00270732"/>
    <w:rsid w:val="002707DC"/>
    <w:rsid w:val="002708F2"/>
    <w:rsid w:val="00270A2F"/>
    <w:rsid w:val="00270D45"/>
    <w:rsid w:val="00270EBA"/>
    <w:rsid w:val="00270F25"/>
    <w:rsid w:val="00271180"/>
    <w:rsid w:val="00271196"/>
    <w:rsid w:val="002712BE"/>
    <w:rsid w:val="00271351"/>
    <w:rsid w:val="002713A5"/>
    <w:rsid w:val="0027144B"/>
    <w:rsid w:val="00271553"/>
    <w:rsid w:val="002715CB"/>
    <w:rsid w:val="0027169C"/>
    <w:rsid w:val="00271843"/>
    <w:rsid w:val="00271979"/>
    <w:rsid w:val="00271A5A"/>
    <w:rsid w:val="00271AC3"/>
    <w:rsid w:val="00271AF6"/>
    <w:rsid w:val="00271C2E"/>
    <w:rsid w:val="00271CFF"/>
    <w:rsid w:val="002722F1"/>
    <w:rsid w:val="002723CD"/>
    <w:rsid w:val="00272498"/>
    <w:rsid w:val="00272702"/>
    <w:rsid w:val="00272939"/>
    <w:rsid w:val="00272A17"/>
    <w:rsid w:val="00272B0D"/>
    <w:rsid w:val="00272B10"/>
    <w:rsid w:val="00272B53"/>
    <w:rsid w:val="00272D41"/>
    <w:rsid w:val="00273110"/>
    <w:rsid w:val="002731FA"/>
    <w:rsid w:val="002731FB"/>
    <w:rsid w:val="00273429"/>
    <w:rsid w:val="0027351A"/>
    <w:rsid w:val="002735F7"/>
    <w:rsid w:val="00273BC6"/>
    <w:rsid w:val="00273C49"/>
    <w:rsid w:val="00273CAF"/>
    <w:rsid w:val="00273CC6"/>
    <w:rsid w:val="00273D62"/>
    <w:rsid w:val="00273D76"/>
    <w:rsid w:val="00273F07"/>
    <w:rsid w:val="0027407B"/>
    <w:rsid w:val="002740D6"/>
    <w:rsid w:val="002743C0"/>
    <w:rsid w:val="002743F1"/>
    <w:rsid w:val="002743F3"/>
    <w:rsid w:val="002744DB"/>
    <w:rsid w:val="002746A3"/>
    <w:rsid w:val="002748B1"/>
    <w:rsid w:val="00274A5F"/>
    <w:rsid w:val="0027590B"/>
    <w:rsid w:val="00275B27"/>
    <w:rsid w:val="00275E97"/>
    <w:rsid w:val="00275E98"/>
    <w:rsid w:val="00275F35"/>
    <w:rsid w:val="0027627B"/>
    <w:rsid w:val="0027641F"/>
    <w:rsid w:val="002764F3"/>
    <w:rsid w:val="0027677E"/>
    <w:rsid w:val="002767D8"/>
    <w:rsid w:val="00276826"/>
    <w:rsid w:val="00276921"/>
    <w:rsid w:val="00276C3B"/>
    <w:rsid w:val="00276D50"/>
    <w:rsid w:val="00276E41"/>
    <w:rsid w:val="00276FD7"/>
    <w:rsid w:val="00277315"/>
    <w:rsid w:val="00277358"/>
    <w:rsid w:val="00277496"/>
    <w:rsid w:val="00277725"/>
    <w:rsid w:val="002777EB"/>
    <w:rsid w:val="00277930"/>
    <w:rsid w:val="00277AE4"/>
    <w:rsid w:val="00277BA8"/>
    <w:rsid w:val="00277C45"/>
    <w:rsid w:val="00277DA3"/>
    <w:rsid w:val="00277ED6"/>
    <w:rsid w:val="002802A0"/>
    <w:rsid w:val="00280309"/>
    <w:rsid w:val="0028067C"/>
    <w:rsid w:val="00280716"/>
    <w:rsid w:val="002807CC"/>
    <w:rsid w:val="002808C6"/>
    <w:rsid w:val="00280936"/>
    <w:rsid w:val="00280BA8"/>
    <w:rsid w:val="00280D54"/>
    <w:rsid w:val="00280E97"/>
    <w:rsid w:val="002811EC"/>
    <w:rsid w:val="00281361"/>
    <w:rsid w:val="002813BA"/>
    <w:rsid w:val="002813DF"/>
    <w:rsid w:val="0028175F"/>
    <w:rsid w:val="00281902"/>
    <w:rsid w:val="002819F5"/>
    <w:rsid w:val="00281BD6"/>
    <w:rsid w:val="00281C15"/>
    <w:rsid w:val="00282319"/>
    <w:rsid w:val="00282342"/>
    <w:rsid w:val="002824D6"/>
    <w:rsid w:val="0028262D"/>
    <w:rsid w:val="00282731"/>
    <w:rsid w:val="0028288A"/>
    <w:rsid w:val="002829E2"/>
    <w:rsid w:val="00282A24"/>
    <w:rsid w:val="00282A47"/>
    <w:rsid w:val="00282A4B"/>
    <w:rsid w:val="00282C15"/>
    <w:rsid w:val="00282F45"/>
    <w:rsid w:val="00283512"/>
    <w:rsid w:val="002836C6"/>
    <w:rsid w:val="002839B5"/>
    <w:rsid w:val="0028406F"/>
    <w:rsid w:val="002841AB"/>
    <w:rsid w:val="002842C2"/>
    <w:rsid w:val="00284669"/>
    <w:rsid w:val="00284955"/>
    <w:rsid w:val="0028499D"/>
    <w:rsid w:val="00284B96"/>
    <w:rsid w:val="00284B9B"/>
    <w:rsid w:val="00284DD4"/>
    <w:rsid w:val="00284F79"/>
    <w:rsid w:val="002850A2"/>
    <w:rsid w:val="002851BC"/>
    <w:rsid w:val="00285373"/>
    <w:rsid w:val="002853C1"/>
    <w:rsid w:val="0028541A"/>
    <w:rsid w:val="0028541D"/>
    <w:rsid w:val="00285455"/>
    <w:rsid w:val="002856A3"/>
    <w:rsid w:val="00285969"/>
    <w:rsid w:val="00285A45"/>
    <w:rsid w:val="00285F08"/>
    <w:rsid w:val="00285F99"/>
    <w:rsid w:val="00285FDF"/>
    <w:rsid w:val="00286160"/>
    <w:rsid w:val="00286303"/>
    <w:rsid w:val="00286371"/>
    <w:rsid w:val="00286413"/>
    <w:rsid w:val="00286537"/>
    <w:rsid w:val="0028675E"/>
    <w:rsid w:val="00286945"/>
    <w:rsid w:val="00286B51"/>
    <w:rsid w:val="00286BE1"/>
    <w:rsid w:val="00286C8D"/>
    <w:rsid w:val="00286DC6"/>
    <w:rsid w:val="00286F0B"/>
    <w:rsid w:val="00286F1D"/>
    <w:rsid w:val="0028704A"/>
    <w:rsid w:val="00287117"/>
    <w:rsid w:val="0028721A"/>
    <w:rsid w:val="002872D2"/>
    <w:rsid w:val="00287428"/>
    <w:rsid w:val="002874ED"/>
    <w:rsid w:val="00287570"/>
    <w:rsid w:val="0028764E"/>
    <w:rsid w:val="00287663"/>
    <w:rsid w:val="00287719"/>
    <w:rsid w:val="002879F7"/>
    <w:rsid w:val="00287A0C"/>
    <w:rsid w:val="00287AB3"/>
    <w:rsid w:val="00287C40"/>
    <w:rsid w:val="00287D9C"/>
    <w:rsid w:val="00287FA9"/>
    <w:rsid w:val="002900F8"/>
    <w:rsid w:val="00290223"/>
    <w:rsid w:val="002905EA"/>
    <w:rsid w:val="002906E6"/>
    <w:rsid w:val="00290725"/>
    <w:rsid w:val="002908A6"/>
    <w:rsid w:val="0029098E"/>
    <w:rsid w:val="00290AE9"/>
    <w:rsid w:val="00290BA0"/>
    <w:rsid w:val="00290CB6"/>
    <w:rsid w:val="00290CCA"/>
    <w:rsid w:val="00291138"/>
    <w:rsid w:val="00291261"/>
    <w:rsid w:val="002912BE"/>
    <w:rsid w:val="002912FF"/>
    <w:rsid w:val="002915F2"/>
    <w:rsid w:val="00291961"/>
    <w:rsid w:val="002919A1"/>
    <w:rsid w:val="002919AA"/>
    <w:rsid w:val="002919D4"/>
    <w:rsid w:val="00291A53"/>
    <w:rsid w:val="00291E16"/>
    <w:rsid w:val="00291E69"/>
    <w:rsid w:val="00291F03"/>
    <w:rsid w:val="00292166"/>
    <w:rsid w:val="00292330"/>
    <w:rsid w:val="00292535"/>
    <w:rsid w:val="002925E7"/>
    <w:rsid w:val="002926D4"/>
    <w:rsid w:val="00292975"/>
    <w:rsid w:val="00292ADC"/>
    <w:rsid w:val="00292C5D"/>
    <w:rsid w:val="00292CE4"/>
    <w:rsid w:val="00292D49"/>
    <w:rsid w:val="00292DB9"/>
    <w:rsid w:val="00292E8B"/>
    <w:rsid w:val="00292E8D"/>
    <w:rsid w:val="00292EF9"/>
    <w:rsid w:val="00292F65"/>
    <w:rsid w:val="00293134"/>
    <w:rsid w:val="00293272"/>
    <w:rsid w:val="00293359"/>
    <w:rsid w:val="00293407"/>
    <w:rsid w:val="00293418"/>
    <w:rsid w:val="00293442"/>
    <w:rsid w:val="002935ED"/>
    <w:rsid w:val="0029389E"/>
    <w:rsid w:val="002938DF"/>
    <w:rsid w:val="00293D6C"/>
    <w:rsid w:val="00293DD7"/>
    <w:rsid w:val="00293FA3"/>
    <w:rsid w:val="002940CA"/>
    <w:rsid w:val="002941DA"/>
    <w:rsid w:val="00294394"/>
    <w:rsid w:val="00294434"/>
    <w:rsid w:val="00294469"/>
    <w:rsid w:val="002944BE"/>
    <w:rsid w:val="00294567"/>
    <w:rsid w:val="00294657"/>
    <w:rsid w:val="0029476C"/>
    <w:rsid w:val="002947CC"/>
    <w:rsid w:val="00294864"/>
    <w:rsid w:val="00294DC2"/>
    <w:rsid w:val="00294F1D"/>
    <w:rsid w:val="002953BE"/>
    <w:rsid w:val="002954E3"/>
    <w:rsid w:val="00295A48"/>
    <w:rsid w:val="00295A6F"/>
    <w:rsid w:val="00295AFE"/>
    <w:rsid w:val="00295B30"/>
    <w:rsid w:val="00295EB9"/>
    <w:rsid w:val="00296008"/>
    <w:rsid w:val="0029614E"/>
    <w:rsid w:val="002962DF"/>
    <w:rsid w:val="002962F2"/>
    <w:rsid w:val="002965F1"/>
    <w:rsid w:val="00296761"/>
    <w:rsid w:val="002968EC"/>
    <w:rsid w:val="00296981"/>
    <w:rsid w:val="0029698E"/>
    <w:rsid w:val="00296A0A"/>
    <w:rsid w:val="00296CD9"/>
    <w:rsid w:val="00296DA0"/>
    <w:rsid w:val="00296DC8"/>
    <w:rsid w:val="002970CF"/>
    <w:rsid w:val="002973AC"/>
    <w:rsid w:val="0029760D"/>
    <w:rsid w:val="0029769A"/>
    <w:rsid w:val="002977B4"/>
    <w:rsid w:val="00297C27"/>
    <w:rsid w:val="00297F14"/>
    <w:rsid w:val="002A0496"/>
    <w:rsid w:val="002A069B"/>
    <w:rsid w:val="002A078E"/>
    <w:rsid w:val="002A09C7"/>
    <w:rsid w:val="002A09EF"/>
    <w:rsid w:val="002A0C2E"/>
    <w:rsid w:val="002A0E9A"/>
    <w:rsid w:val="002A0FB5"/>
    <w:rsid w:val="002A1292"/>
    <w:rsid w:val="002A1379"/>
    <w:rsid w:val="002A141A"/>
    <w:rsid w:val="002A142B"/>
    <w:rsid w:val="002A14B8"/>
    <w:rsid w:val="002A1572"/>
    <w:rsid w:val="002A1740"/>
    <w:rsid w:val="002A18A9"/>
    <w:rsid w:val="002A18E8"/>
    <w:rsid w:val="002A19F0"/>
    <w:rsid w:val="002A1AEC"/>
    <w:rsid w:val="002A1C93"/>
    <w:rsid w:val="002A2257"/>
    <w:rsid w:val="002A234E"/>
    <w:rsid w:val="002A239E"/>
    <w:rsid w:val="002A2722"/>
    <w:rsid w:val="002A27DF"/>
    <w:rsid w:val="002A2AA5"/>
    <w:rsid w:val="002A2DB8"/>
    <w:rsid w:val="002A2DCF"/>
    <w:rsid w:val="002A3373"/>
    <w:rsid w:val="002A343C"/>
    <w:rsid w:val="002A3560"/>
    <w:rsid w:val="002A35AB"/>
    <w:rsid w:val="002A36EB"/>
    <w:rsid w:val="002A3779"/>
    <w:rsid w:val="002A3843"/>
    <w:rsid w:val="002A388F"/>
    <w:rsid w:val="002A3DC1"/>
    <w:rsid w:val="002A4123"/>
    <w:rsid w:val="002A4364"/>
    <w:rsid w:val="002A4429"/>
    <w:rsid w:val="002A4B45"/>
    <w:rsid w:val="002A4DEF"/>
    <w:rsid w:val="002A4F76"/>
    <w:rsid w:val="002A4FC0"/>
    <w:rsid w:val="002A4FF3"/>
    <w:rsid w:val="002A5013"/>
    <w:rsid w:val="002A5048"/>
    <w:rsid w:val="002A50D0"/>
    <w:rsid w:val="002A53B1"/>
    <w:rsid w:val="002A5694"/>
    <w:rsid w:val="002A572B"/>
    <w:rsid w:val="002A5935"/>
    <w:rsid w:val="002A5978"/>
    <w:rsid w:val="002A59BC"/>
    <w:rsid w:val="002A59EB"/>
    <w:rsid w:val="002A5A15"/>
    <w:rsid w:val="002A5A80"/>
    <w:rsid w:val="002A5B8C"/>
    <w:rsid w:val="002A5BB9"/>
    <w:rsid w:val="002A5BD5"/>
    <w:rsid w:val="002A5F32"/>
    <w:rsid w:val="002A6072"/>
    <w:rsid w:val="002A60AB"/>
    <w:rsid w:val="002A62B7"/>
    <w:rsid w:val="002A63C0"/>
    <w:rsid w:val="002A643B"/>
    <w:rsid w:val="002A648A"/>
    <w:rsid w:val="002A6B1E"/>
    <w:rsid w:val="002A6CEE"/>
    <w:rsid w:val="002A6D11"/>
    <w:rsid w:val="002A6E22"/>
    <w:rsid w:val="002A70F9"/>
    <w:rsid w:val="002A7281"/>
    <w:rsid w:val="002A73CA"/>
    <w:rsid w:val="002A7453"/>
    <w:rsid w:val="002A74EF"/>
    <w:rsid w:val="002A7594"/>
    <w:rsid w:val="002A77E8"/>
    <w:rsid w:val="002A7938"/>
    <w:rsid w:val="002A79B3"/>
    <w:rsid w:val="002A79E8"/>
    <w:rsid w:val="002A7A31"/>
    <w:rsid w:val="002A7C91"/>
    <w:rsid w:val="002A7D75"/>
    <w:rsid w:val="002A7E86"/>
    <w:rsid w:val="002B0290"/>
    <w:rsid w:val="002B03ED"/>
    <w:rsid w:val="002B0522"/>
    <w:rsid w:val="002B059E"/>
    <w:rsid w:val="002B0643"/>
    <w:rsid w:val="002B0808"/>
    <w:rsid w:val="002B0B61"/>
    <w:rsid w:val="002B0BD6"/>
    <w:rsid w:val="002B0E69"/>
    <w:rsid w:val="002B0F46"/>
    <w:rsid w:val="002B1179"/>
    <w:rsid w:val="002B1359"/>
    <w:rsid w:val="002B13FC"/>
    <w:rsid w:val="002B14AB"/>
    <w:rsid w:val="002B14C0"/>
    <w:rsid w:val="002B1810"/>
    <w:rsid w:val="002B1FC8"/>
    <w:rsid w:val="002B1FD5"/>
    <w:rsid w:val="002B2064"/>
    <w:rsid w:val="002B20F3"/>
    <w:rsid w:val="002B2293"/>
    <w:rsid w:val="002B2454"/>
    <w:rsid w:val="002B250C"/>
    <w:rsid w:val="002B26BB"/>
    <w:rsid w:val="002B26E0"/>
    <w:rsid w:val="002B2917"/>
    <w:rsid w:val="002B2DF0"/>
    <w:rsid w:val="002B2F21"/>
    <w:rsid w:val="002B2F2C"/>
    <w:rsid w:val="002B3050"/>
    <w:rsid w:val="002B3209"/>
    <w:rsid w:val="002B3344"/>
    <w:rsid w:val="002B33DD"/>
    <w:rsid w:val="002B364F"/>
    <w:rsid w:val="002B36F7"/>
    <w:rsid w:val="002B3829"/>
    <w:rsid w:val="002B3914"/>
    <w:rsid w:val="002B392C"/>
    <w:rsid w:val="002B393D"/>
    <w:rsid w:val="002B395D"/>
    <w:rsid w:val="002B3AFB"/>
    <w:rsid w:val="002B4026"/>
    <w:rsid w:val="002B40E0"/>
    <w:rsid w:val="002B415D"/>
    <w:rsid w:val="002B43C4"/>
    <w:rsid w:val="002B46EE"/>
    <w:rsid w:val="002B475F"/>
    <w:rsid w:val="002B4846"/>
    <w:rsid w:val="002B4AA4"/>
    <w:rsid w:val="002B4B19"/>
    <w:rsid w:val="002B4C92"/>
    <w:rsid w:val="002B5003"/>
    <w:rsid w:val="002B5205"/>
    <w:rsid w:val="002B521B"/>
    <w:rsid w:val="002B5408"/>
    <w:rsid w:val="002B542E"/>
    <w:rsid w:val="002B56CA"/>
    <w:rsid w:val="002B58EC"/>
    <w:rsid w:val="002B5A7F"/>
    <w:rsid w:val="002B5C43"/>
    <w:rsid w:val="002B5C93"/>
    <w:rsid w:val="002B5CA2"/>
    <w:rsid w:val="002B5CDD"/>
    <w:rsid w:val="002B5DB7"/>
    <w:rsid w:val="002B5E0D"/>
    <w:rsid w:val="002B5E79"/>
    <w:rsid w:val="002B6004"/>
    <w:rsid w:val="002B6013"/>
    <w:rsid w:val="002B6018"/>
    <w:rsid w:val="002B61C9"/>
    <w:rsid w:val="002B6294"/>
    <w:rsid w:val="002B6514"/>
    <w:rsid w:val="002B6555"/>
    <w:rsid w:val="002B65F4"/>
    <w:rsid w:val="002B66CC"/>
    <w:rsid w:val="002B6783"/>
    <w:rsid w:val="002B68C2"/>
    <w:rsid w:val="002B6A33"/>
    <w:rsid w:val="002B6A3C"/>
    <w:rsid w:val="002B6C1E"/>
    <w:rsid w:val="002B6E4B"/>
    <w:rsid w:val="002B6F47"/>
    <w:rsid w:val="002B7033"/>
    <w:rsid w:val="002B71E7"/>
    <w:rsid w:val="002B756A"/>
    <w:rsid w:val="002B76CB"/>
    <w:rsid w:val="002B796C"/>
    <w:rsid w:val="002B7D4F"/>
    <w:rsid w:val="002B7EF1"/>
    <w:rsid w:val="002C00E9"/>
    <w:rsid w:val="002C0405"/>
    <w:rsid w:val="002C06EC"/>
    <w:rsid w:val="002C09E8"/>
    <w:rsid w:val="002C0A39"/>
    <w:rsid w:val="002C0C63"/>
    <w:rsid w:val="002C0E1B"/>
    <w:rsid w:val="002C0F25"/>
    <w:rsid w:val="002C116C"/>
    <w:rsid w:val="002C123E"/>
    <w:rsid w:val="002C131B"/>
    <w:rsid w:val="002C1392"/>
    <w:rsid w:val="002C159B"/>
    <w:rsid w:val="002C1772"/>
    <w:rsid w:val="002C1A52"/>
    <w:rsid w:val="002C1A97"/>
    <w:rsid w:val="002C207B"/>
    <w:rsid w:val="002C2154"/>
    <w:rsid w:val="002C2192"/>
    <w:rsid w:val="002C2210"/>
    <w:rsid w:val="002C22EF"/>
    <w:rsid w:val="002C238C"/>
    <w:rsid w:val="002C23FF"/>
    <w:rsid w:val="002C241B"/>
    <w:rsid w:val="002C269A"/>
    <w:rsid w:val="002C278A"/>
    <w:rsid w:val="002C27CF"/>
    <w:rsid w:val="002C2A80"/>
    <w:rsid w:val="002C2BAB"/>
    <w:rsid w:val="002C2CF3"/>
    <w:rsid w:val="002C2E34"/>
    <w:rsid w:val="002C3023"/>
    <w:rsid w:val="002C3283"/>
    <w:rsid w:val="002C358E"/>
    <w:rsid w:val="002C3B6E"/>
    <w:rsid w:val="002C3C0E"/>
    <w:rsid w:val="002C3DB0"/>
    <w:rsid w:val="002C3E76"/>
    <w:rsid w:val="002C4020"/>
    <w:rsid w:val="002C414A"/>
    <w:rsid w:val="002C4196"/>
    <w:rsid w:val="002C4254"/>
    <w:rsid w:val="002C43F6"/>
    <w:rsid w:val="002C46CC"/>
    <w:rsid w:val="002C470D"/>
    <w:rsid w:val="002C489E"/>
    <w:rsid w:val="002C49B5"/>
    <w:rsid w:val="002C49F3"/>
    <w:rsid w:val="002C4AE3"/>
    <w:rsid w:val="002C51E7"/>
    <w:rsid w:val="002C5240"/>
    <w:rsid w:val="002C525A"/>
    <w:rsid w:val="002C54CA"/>
    <w:rsid w:val="002C54D7"/>
    <w:rsid w:val="002C571D"/>
    <w:rsid w:val="002C5DAF"/>
    <w:rsid w:val="002C5E67"/>
    <w:rsid w:val="002C5EF8"/>
    <w:rsid w:val="002C618E"/>
    <w:rsid w:val="002C6642"/>
    <w:rsid w:val="002C6711"/>
    <w:rsid w:val="002C6754"/>
    <w:rsid w:val="002C69AA"/>
    <w:rsid w:val="002C6ACD"/>
    <w:rsid w:val="002C6B3C"/>
    <w:rsid w:val="002C6C58"/>
    <w:rsid w:val="002C6ECC"/>
    <w:rsid w:val="002C6FEC"/>
    <w:rsid w:val="002C709C"/>
    <w:rsid w:val="002C725B"/>
    <w:rsid w:val="002C73BC"/>
    <w:rsid w:val="002C759F"/>
    <w:rsid w:val="002C7A2E"/>
    <w:rsid w:val="002C7B51"/>
    <w:rsid w:val="002C7F93"/>
    <w:rsid w:val="002D009C"/>
    <w:rsid w:val="002D00C5"/>
    <w:rsid w:val="002D0160"/>
    <w:rsid w:val="002D0510"/>
    <w:rsid w:val="002D057C"/>
    <w:rsid w:val="002D0797"/>
    <w:rsid w:val="002D08F6"/>
    <w:rsid w:val="002D09AF"/>
    <w:rsid w:val="002D0FE6"/>
    <w:rsid w:val="002D0FF7"/>
    <w:rsid w:val="002D11B6"/>
    <w:rsid w:val="002D1536"/>
    <w:rsid w:val="002D165D"/>
    <w:rsid w:val="002D1780"/>
    <w:rsid w:val="002D17C1"/>
    <w:rsid w:val="002D17E6"/>
    <w:rsid w:val="002D183C"/>
    <w:rsid w:val="002D1BDF"/>
    <w:rsid w:val="002D1C14"/>
    <w:rsid w:val="002D1D99"/>
    <w:rsid w:val="002D1E23"/>
    <w:rsid w:val="002D1EFC"/>
    <w:rsid w:val="002D1FC5"/>
    <w:rsid w:val="002D264B"/>
    <w:rsid w:val="002D27B5"/>
    <w:rsid w:val="002D27CC"/>
    <w:rsid w:val="002D2D8A"/>
    <w:rsid w:val="002D3058"/>
    <w:rsid w:val="002D30BA"/>
    <w:rsid w:val="002D318D"/>
    <w:rsid w:val="002D35C2"/>
    <w:rsid w:val="002D3805"/>
    <w:rsid w:val="002D380B"/>
    <w:rsid w:val="002D3949"/>
    <w:rsid w:val="002D394B"/>
    <w:rsid w:val="002D3D60"/>
    <w:rsid w:val="002D3E20"/>
    <w:rsid w:val="002D3EA6"/>
    <w:rsid w:val="002D402E"/>
    <w:rsid w:val="002D416B"/>
    <w:rsid w:val="002D4322"/>
    <w:rsid w:val="002D43BE"/>
    <w:rsid w:val="002D45D1"/>
    <w:rsid w:val="002D4669"/>
    <w:rsid w:val="002D489B"/>
    <w:rsid w:val="002D4B52"/>
    <w:rsid w:val="002D4E33"/>
    <w:rsid w:val="002D5130"/>
    <w:rsid w:val="002D51AF"/>
    <w:rsid w:val="002D5328"/>
    <w:rsid w:val="002D54EC"/>
    <w:rsid w:val="002D5530"/>
    <w:rsid w:val="002D5578"/>
    <w:rsid w:val="002D5891"/>
    <w:rsid w:val="002D5B13"/>
    <w:rsid w:val="002D5F42"/>
    <w:rsid w:val="002D609F"/>
    <w:rsid w:val="002D615E"/>
    <w:rsid w:val="002D627D"/>
    <w:rsid w:val="002D6284"/>
    <w:rsid w:val="002D6397"/>
    <w:rsid w:val="002D6675"/>
    <w:rsid w:val="002D66D7"/>
    <w:rsid w:val="002D6759"/>
    <w:rsid w:val="002D69DC"/>
    <w:rsid w:val="002D6A34"/>
    <w:rsid w:val="002D6EB4"/>
    <w:rsid w:val="002D6F35"/>
    <w:rsid w:val="002D6F5A"/>
    <w:rsid w:val="002D7574"/>
    <w:rsid w:val="002D7731"/>
    <w:rsid w:val="002D773E"/>
    <w:rsid w:val="002D7B77"/>
    <w:rsid w:val="002D7C1B"/>
    <w:rsid w:val="002D7EE6"/>
    <w:rsid w:val="002D7FAB"/>
    <w:rsid w:val="002E001A"/>
    <w:rsid w:val="002E009A"/>
    <w:rsid w:val="002E0235"/>
    <w:rsid w:val="002E027D"/>
    <w:rsid w:val="002E02C9"/>
    <w:rsid w:val="002E03DB"/>
    <w:rsid w:val="002E04B9"/>
    <w:rsid w:val="002E0552"/>
    <w:rsid w:val="002E07CC"/>
    <w:rsid w:val="002E09CF"/>
    <w:rsid w:val="002E0D0F"/>
    <w:rsid w:val="002E10ED"/>
    <w:rsid w:val="002E11DE"/>
    <w:rsid w:val="002E121F"/>
    <w:rsid w:val="002E151B"/>
    <w:rsid w:val="002E16B1"/>
    <w:rsid w:val="002E1820"/>
    <w:rsid w:val="002E1837"/>
    <w:rsid w:val="002E18CC"/>
    <w:rsid w:val="002E1A9A"/>
    <w:rsid w:val="002E1B33"/>
    <w:rsid w:val="002E1D02"/>
    <w:rsid w:val="002E1F9F"/>
    <w:rsid w:val="002E1FB6"/>
    <w:rsid w:val="002E204F"/>
    <w:rsid w:val="002E2225"/>
    <w:rsid w:val="002E25BE"/>
    <w:rsid w:val="002E2818"/>
    <w:rsid w:val="002E28AC"/>
    <w:rsid w:val="002E2A5B"/>
    <w:rsid w:val="002E2AC3"/>
    <w:rsid w:val="002E2CA3"/>
    <w:rsid w:val="002E2EDA"/>
    <w:rsid w:val="002E2FE0"/>
    <w:rsid w:val="002E347A"/>
    <w:rsid w:val="002E3512"/>
    <w:rsid w:val="002E355C"/>
    <w:rsid w:val="002E359A"/>
    <w:rsid w:val="002E3A09"/>
    <w:rsid w:val="002E3DE0"/>
    <w:rsid w:val="002E3DF7"/>
    <w:rsid w:val="002E4065"/>
    <w:rsid w:val="002E43EB"/>
    <w:rsid w:val="002E4504"/>
    <w:rsid w:val="002E454C"/>
    <w:rsid w:val="002E454E"/>
    <w:rsid w:val="002E4583"/>
    <w:rsid w:val="002E46B0"/>
    <w:rsid w:val="002E4701"/>
    <w:rsid w:val="002E4727"/>
    <w:rsid w:val="002E4930"/>
    <w:rsid w:val="002E4B8A"/>
    <w:rsid w:val="002E4E4E"/>
    <w:rsid w:val="002E503B"/>
    <w:rsid w:val="002E52BB"/>
    <w:rsid w:val="002E5394"/>
    <w:rsid w:val="002E540B"/>
    <w:rsid w:val="002E562D"/>
    <w:rsid w:val="002E5851"/>
    <w:rsid w:val="002E59BB"/>
    <w:rsid w:val="002E5BA1"/>
    <w:rsid w:val="002E5C9A"/>
    <w:rsid w:val="002E5E71"/>
    <w:rsid w:val="002E5FC4"/>
    <w:rsid w:val="002E6282"/>
    <w:rsid w:val="002E6557"/>
    <w:rsid w:val="002E6567"/>
    <w:rsid w:val="002E656A"/>
    <w:rsid w:val="002E657B"/>
    <w:rsid w:val="002E66AD"/>
    <w:rsid w:val="002E6AA4"/>
    <w:rsid w:val="002E6C83"/>
    <w:rsid w:val="002E6DDE"/>
    <w:rsid w:val="002E75AF"/>
    <w:rsid w:val="002E7621"/>
    <w:rsid w:val="002E7978"/>
    <w:rsid w:val="002E7B30"/>
    <w:rsid w:val="002E7D9C"/>
    <w:rsid w:val="002E7DFA"/>
    <w:rsid w:val="002E7E51"/>
    <w:rsid w:val="002E7E9A"/>
    <w:rsid w:val="002E7F94"/>
    <w:rsid w:val="002E7FF9"/>
    <w:rsid w:val="002F036E"/>
    <w:rsid w:val="002F04EF"/>
    <w:rsid w:val="002F0BB2"/>
    <w:rsid w:val="002F123A"/>
    <w:rsid w:val="002F1293"/>
    <w:rsid w:val="002F12A5"/>
    <w:rsid w:val="002F13F5"/>
    <w:rsid w:val="002F1635"/>
    <w:rsid w:val="002F17CD"/>
    <w:rsid w:val="002F1833"/>
    <w:rsid w:val="002F1903"/>
    <w:rsid w:val="002F1B21"/>
    <w:rsid w:val="002F1BA1"/>
    <w:rsid w:val="002F1CF7"/>
    <w:rsid w:val="002F1F4A"/>
    <w:rsid w:val="002F1F91"/>
    <w:rsid w:val="002F200E"/>
    <w:rsid w:val="002F2054"/>
    <w:rsid w:val="002F21FC"/>
    <w:rsid w:val="002F231C"/>
    <w:rsid w:val="002F2776"/>
    <w:rsid w:val="002F2E91"/>
    <w:rsid w:val="002F332D"/>
    <w:rsid w:val="002F3333"/>
    <w:rsid w:val="002F3353"/>
    <w:rsid w:val="002F3477"/>
    <w:rsid w:val="002F3595"/>
    <w:rsid w:val="002F36CD"/>
    <w:rsid w:val="002F380B"/>
    <w:rsid w:val="002F3A24"/>
    <w:rsid w:val="002F3AE6"/>
    <w:rsid w:val="002F3BCF"/>
    <w:rsid w:val="002F3BD7"/>
    <w:rsid w:val="002F3C91"/>
    <w:rsid w:val="002F3D1C"/>
    <w:rsid w:val="002F3E30"/>
    <w:rsid w:val="002F3EC4"/>
    <w:rsid w:val="002F3FDB"/>
    <w:rsid w:val="002F4080"/>
    <w:rsid w:val="002F42FC"/>
    <w:rsid w:val="002F4455"/>
    <w:rsid w:val="002F4510"/>
    <w:rsid w:val="002F458B"/>
    <w:rsid w:val="002F4780"/>
    <w:rsid w:val="002F4849"/>
    <w:rsid w:val="002F498F"/>
    <w:rsid w:val="002F4A11"/>
    <w:rsid w:val="002F4CCC"/>
    <w:rsid w:val="002F51DF"/>
    <w:rsid w:val="002F51FE"/>
    <w:rsid w:val="002F52DE"/>
    <w:rsid w:val="002F547A"/>
    <w:rsid w:val="002F54BB"/>
    <w:rsid w:val="002F5540"/>
    <w:rsid w:val="002F55C8"/>
    <w:rsid w:val="002F58E2"/>
    <w:rsid w:val="002F598A"/>
    <w:rsid w:val="002F5A23"/>
    <w:rsid w:val="002F5E1D"/>
    <w:rsid w:val="002F5EB2"/>
    <w:rsid w:val="002F5EEC"/>
    <w:rsid w:val="002F5F14"/>
    <w:rsid w:val="002F617F"/>
    <w:rsid w:val="002F6214"/>
    <w:rsid w:val="002F63CB"/>
    <w:rsid w:val="002F6451"/>
    <w:rsid w:val="002F668A"/>
    <w:rsid w:val="002F6780"/>
    <w:rsid w:val="002F68C5"/>
    <w:rsid w:val="002F6934"/>
    <w:rsid w:val="002F6998"/>
    <w:rsid w:val="002F69EE"/>
    <w:rsid w:val="002F6CE3"/>
    <w:rsid w:val="002F6F29"/>
    <w:rsid w:val="002F70C7"/>
    <w:rsid w:val="002F7122"/>
    <w:rsid w:val="002F7142"/>
    <w:rsid w:val="002F7425"/>
    <w:rsid w:val="002F74D4"/>
    <w:rsid w:val="002F76C1"/>
    <w:rsid w:val="002F78F0"/>
    <w:rsid w:val="002F7A8F"/>
    <w:rsid w:val="002F7B71"/>
    <w:rsid w:val="002F7BF0"/>
    <w:rsid w:val="002F7C8B"/>
    <w:rsid w:val="002F7CFB"/>
    <w:rsid w:val="002F7D50"/>
    <w:rsid w:val="002F7EF0"/>
    <w:rsid w:val="00300109"/>
    <w:rsid w:val="00300355"/>
    <w:rsid w:val="00300399"/>
    <w:rsid w:val="00300494"/>
    <w:rsid w:val="003004C9"/>
    <w:rsid w:val="0030059F"/>
    <w:rsid w:val="00300621"/>
    <w:rsid w:val="003006A1"/>
    <w:rsid w:val="003009E5"/>
    <w:rsid w:val="00300EA6"/>
    <w:rsid w:val="00300FC3"/>
    <w:rsid w:val="00301222"/>
    <w:rsid w:val="00301341"/>
    <w:rsid w:val="00301397"/>
    <w:rsid w:val="003013E2"/>
    <w:rsid w:val="00301755"/>
    <w:rsid w:val="003019EC"/>
    <w:rsid w:val="00301AEF"/>
    <w:rsid w:val="00301C55"/>
    <w:rsid w:val="00301D3F"/>
    <w:rsid w:val="00301ECF"/>
    <w:rsid w:val="0030208A"/>
    <w:rsid w:val="003020F0"/>
    <w:rsid w:val="0030247A"/>
    <w:rsid w:val="00302871"/>
    <w:rsid w:val="003029F5"/>
    <w:rsid w:val="00302A04"/>
    <w:rsid w:val="00302F50"/>
    <w:rsid w:val="00303247"/>
    <w:rsid w:val="003032F9"/>
    <w:rsid w:val="003035A7"/>
    <w:rsid w:val="003036E3"/>
    <w:rsid w:val="003038EA"/>
    <w:rsid w:val="003039AF"/>
    <w:rsid w:val="00303BAC"/>
    <w:rsid w:val="00303EEF"/>
    <w:rsid w:val="003041B8"/>
    <w:rsid w:val="00304219"/>
    <w:rsid w:val="003044E6"/>
    <w:rsid w:val="003046B1"/>
    <w:rsid w:val="00304896"/>
    <w:rsid w:val="00304917"/>
    <w:rsid w:val="003049AA"/>
    <w:rsid w:val="00304AA3"/>
    <w:rsid w:val="00304DCF"/>
    <w:rsid w:val="00304FF8"/>
    <w:rsid w:val="00305008"/>
    <w:rsid w:val="00305140"/>
    <w:rsid w:val="00305293"/>
    <w:rsid w:val="0030565A"/>
    <w:rsid w:val="00305701"/>
    <w:rsid w:val="00305707"/>
    <w:rsid w:val="0030573F"/>
    <w:rsid w:val="00305A1A"/>
    <w:rsid w:val="00305AA0"/>
    <w:rsid w:val="00305F93"/>
    <w:rsid w:val="00306416"/>
    <w:rsid w:val="003064AB"/>
    <w:rsid w:val="00306571"/>
    <w:rsid w:val="003065CF"/>
    <w:rsid w:val="0030665E"/>
    <w:rsid w:val="003066C6"/>
    <w:rsid w:val="003066E5"/>
    <w:rsid w:val="00306823"/>
    <w:rsid w:val="00306894"/>
    <w:rsid w:val="00306D63"/>
    <w:rsid w:val="00306EA4"/>
    <w:rsid w:val="00306EAA"/>
    <w:rsid w:val="00306ED5"/>
    <w:rsid w:val="0030744B"/>
    <w:rsid w:val="003075ED"/>
    <w:rsid w:val="003076BE"/>
    <w:rsid w:val="00307923"/>
    <w:rsid w:val="00307925"/>
    <w:rsid w:val="0030799C"/>
    <w:rsid w:val="00307B31"/>
    <w:rsid w:val="00307C44"/>
    <w:rsid w:val="00307DE9"/>
    <w:rsid w:val="00307EEC"/>
    <w:rsid w:val="00307F49"/>
    <w:rsid w:val="003103C6"/>
    <w:rsid w:val="0031091F"/>
    <w:rsid w:val="0031092E"/>
    <w:rsid w:val="00310CBE"/>
    <w:rsid w:val="00310E10"/>
    <w:rsid w:val="00310FA3"/>
    <w:rsid w:val="00311078"/>
    <w:rsid w:val="003110E8"/>
    <w:rsid w:val="00311113"/>
    <w:rsid w:val="003111AD"/>
    <w:rsid w:val="003111AF"/>
    <w:rsid w:val="00311213"/>
    <w:rsid w:val="003112FA"/>
    <w:rsid w:val="00311827"/>
    <w:rsid w:val="0031184E"/>
    <w:rsid w:val="00311AED"/>
    <w:rsid w:val="00311B6C"/>
    <w:rsid w:val="00311B88"/>
    <w:rsid w:val="00311BD9"/>
    <w:rsid w:val="00311BF9"/>
    <w:rsid w:val="00311F93"/>
    <w:rsid w:val="00311FC3"/>
    <w:rsid w:val="0031204E"/>
    <w:rsid w:val="003120E7"/>
    <w:rsid w:val="003122F4"/>
    <w:rsid w:val="0031256C"/>
    <w:rsid w:val="003125E1"/>
    <w:rsid w:val="00312844"/>
    <w:rsid w:val="003128F8"/>
    <w:rsid w:val="00312B02"/>
    <w:rsid w:val="00312B3D"/>
    <w:rsid w:val="00312C31"/>
    <w:rsid w:val="00312DB0"/>
    <w:rsid w:val="00313015"/>
    <w:rsid w:val="00313065"/>
    <w:rsid w:val="00313110"/>
    <w:rsid w:val="003131DE"/>
    <w:rsid w:val="0031332A"/>
    <w:rsid w:val="003135D4"/>
    <w:rsid w:val="003135FE"/>
    <w:rsid w:val="00313661"/>
    <w:rsid w:val="00313D2B"/>
    <w:rsid w:val="00313F54"/>
    <w:rsid w:val="00313FB4"/>
    <w:rsid w:val="00314115"/>
    <w:rsid w:val="0031435E"/>
    <w:rsid w:val="0031442B"/>
    <w:rsid w:val="0031450A"/>
    <w:rsid w:val="00314917"/>
    <w:rsid w:val="00314B18"/>
    <w:rsid w:val="00314B62"/>
    <w:rsid w:val="00314C7C"/>
    <w:rsid w:val="00314D15"/>
    <w:rsid w:val="00314E5E"/>
    <w:rsid w:val="0031528C"/>
    <w:rsid w:val="00315303"/>
    <w:rsid w:val="00315561"/>
    <w:rsid w:val="00315731"/>
    <w:rsid w:val="00315B7C"/>
    <w:rsid w:val="00315C6E"/>
    <w:rsid w:val="00315EB7"/>
    <w:rsid w:val="00315EB9"/>
    <w:rsid w:val="00315F5E"/>
    <w:rsid w:val="00315FA2"/>
    <w:rsid w:val="00315FCD"/>
    <w:rsid w:val="0031616F"/>
    <w:rsid w:val="00316518"/>
    <w:rsid w:val="0031655F"/>
    <w:rsid w:val="003166B2"/>
    <w:rsid w:val="0031690C"/>
    <w:rsid w:val="00316BE3"/>
    <w:rsid w:val="00316D57"/>
    <w:rsid w:val="00316D5B"/>
    <w:rsid w:val="0031755C"/>
    <w:rsid w:val="003175E2"/>
    <w:rsid w:val="0031782A"/>
    <w:rsid w:val="00317939"/>
    <w:rsid w:val="00317A52"/>
    <w:rsid w:val="00317AF6"/>
    <w:rsid w:val="00317CCD"/>
    <w:rsid w:val="00317DC5"/>
    <w:rsid w:val="0032001B"/>
    <w:rsid w:val="00320034"/>
    <w:rsid w:val="0032011D"/>
    <w:rsid w:val="003202E7"/>
    <w:rsid w:val="003203E6"/>
    <w:rsid w:val="0032066D"/>
    <w:rsid w:val="0032067C"/>
    <w:rsid w:val="003208BC"/>
    <w:rsid w:val="00320D27"/>
    <w:rsid w:val="00320D4B"/>
    <w:rsid w:val="0032117B"/>
    <w:rsid w:val="003211A8"/>
    <w:rsid w:val="003212A4"/>
    <w:rsid w:val="00321363"/>
    <w:rsid w:val="003215A9"/>
    <w:rsid w:val="0032171A"/>
    <w:rsid w:val="003219A6"/>
    <w:rsid w:val="00321B33"/>
    <w:rsid w:val="00321D55"/>
    <w:rsid w:val="00321DE3"/>
    <w:rsid w:val="00321DEA"/>
    <w:rsid w:val="0032208E"/>
    <w:rsid w:val="00322160"/>
    <w:rsid w:val="003226EE"/>
    <w:rsid w:val="00322788"/>
    <w:rsid w:val="00322798"/>
    <w:rsid w:val="003228B3"/>
    <w:rsid w:val="003228CD"/>
    <w:rsid w:val="003228E0"/>
    <w:rsid w:val="00322A65"/>
    <w:rsid w:val="00322AF6"/>
    <w:rsid w:val="00322E4F"/>
    <w:rsid w:val="00322F1D"/>
    <w:rsid w:val="00322FFF"/>
    <w:rsid w:val="00323006"/>
    <w:rsid w:val="00323124"/>
    <w:rsid w:val="0032322E"/>
    <w:rsid w:val="003234E6"/>
    <w:rsid w:val="0032370A"/>
    <w:rsid w:val="00323802"/>
    <w:rsid w:val="00323926"/>
    <w:rsid w:val="003239DC"/>
    <w:rsid w:val="00323BFD"/>
    <w:rsid w:val="00323C48"/>
    <w:rsid w:val="00323E6C"/>
    <w:rsid w:val="00323EE3"/>
    <w:rsid w:val="00323F3E"/>
    <w:rsid w:val="003243F2"/>
    <w:rsid w:val="003247D9"/>
    <w:rsid w:val="0032493C"/>
    <w:rsid w:val="00324B08"/>
    <w:rsid w:val="00325272"/>
    <w:rsid w:val="00325369"/>
    <w:rsid w:val="00325787"/>
    <w:rsid w:val="00325BB9"/>
    <w:rsid w:val="00325C85"/>
    <w:rsid w:val="00325D83"/>
    <w:rsid w:val="00326247"/>
    <w:rsid w:val="00326298"/>
    <w:rsid w:val="0032669D"/>
    <w:rsid w:val="00326855"/>
    <w:rsid w:val="003268D5"/>
    <w:rsid w:val="00326F19"/>
    <w:rsid w:val="00326F41"/>
    <w:rsid w:val="003270A2"/>
    <w:rsid w:val="003271C5"/>
    <w:rsid w:val="0032738D"/>
    <w:rsid w:val="00327556"/>
    <w:rsid w:val="00327571"/>
    <w:rsid w:val="00327596"/>
    <w:rsid w:val="003275A7"/>
    <w:rsid w:val="003275E2"/>
    <w:rsid w:val="00327875"/>
    <w:rsid w:val="003278CB"/>
    <w:rsid w:val="00327A74"/>
    <w:rsid w:val="00327B40"/>
    <w:rsid w:val="00327BED"/>
    <w:rsid w:val="00327E38"/>
    <w:rsid w:val="00327F2E"/>
    <w:rsid w:val="00327F84"/>
    <w:rsid w:val="003301BF"/>
    <w:rsid w:val="0033022D"/>
    <w:rsid w:val="003302E0"/>
    <w:rsid w:val="0033032E"/>
    <w:rsid w:val="003306D6"/>
    <w:rsid w:val="00330718"/>
    <w:rsid w:val="00330890"/>
    <w:rsid w:val="00330976"/>
    <w:rsid w:val="00330A4D"/>
    <w:rsid w:val="00330AD3"/>
    <w:rsid w:val="00330C04"/>
    <w:rsid w:val="00330FC9"/>
    <w:rsid w:val="003310C4"/>
    <w:rsid w:val="00331320"/>
    <w:rsid w:val="0033152D"/>
    <w:rsid w:val="003315E7"/>
    <w:rsid w:val="00331674"/>
    <w:rsid w:val="00331717"/>
    <w:rsid w:val="0033172D"/>
    <w:rsid w:val="003319ED"/>
    <w:rsid w:val="00331A02"/>
    <w:rsid w:val="00331DA8"/>
    <w:rsid w:val="00331F5E"/>
    <w:rsid w:val="00331F93"/>
    <w:rsid w:val="00332271"/>
    <w:rsid w:val="00332592"/>
    <w:rsid w:val="00332617"/>
    <w:rsid w:val="00332B55"/>
    <w:rsid w:val="00332FB5"/>
    <w:rsid w:val="00333322"/>
    <w:rsid w:val="00333596"/>
    <w:rsid w:val="00333AC0"/>
    <w:rsid w:val="00333B37"/>
    <w:rsid w:val="00333BAE"/>
    <w:rsid w:val="00333FE3"/>
    <w:rsid w:val="00334051"/>
    <w:rsid w:val="0033406C"/>
    <w:rsid w:val="003340BF"/>
    <w:rsid w:val="0033411A"/>
    <w:rsid w:val="00334275"/>
    <w:rsid w:val="00334320"/>
    <w:rsid w:val="003343E6"/>
    <w:rsid w:val="003345EC"/>
    <w:rsid w:val="003345F9"/>
    <w:rsid w:val="003346F0"/>
    <w:rsid w:val="003348CB"/>
    <w:rsid w:val="0033498F"/>
    <w:rsid w:val="00334CF2"/>
    <w:rsid w:val="00334D73"/>
    <w:rsid w:val="00334E5F"/>
    <w:rsid w:val="00334E91"/>
    <w:rsid w:val="00334F33"/>
    <w:rsid w:val="00335000"/>
    <w:rsid w:val="003351A6"/>
    <w:rsid w:val="003351F1"/>
    <w:rsid w:val="0033541C"/>
    <w:rsid w:val="00335869"/>
    <w:rsid w:val="003359D7"/>
    <w:rsid w:val="00335F73"/>
    <w:rsid w:val="00335FC4"/>
    <w:rsid w:val="003360DB"/>
    <w:rsid w:val="003362DE"/>
    <w:rsid w:val="0033631C"/>
    <w:rsid w:val="003363C4"/>
    <w:rsid w:val="003364EE"/>
    <w:rsid w:val="0033663D"/>
    <w:rsid w:val="003366BC"/>
    <w:rsid w:val="00336846"/>
    <w:rsid w:val="0033692B"/>
    <w:rsid w:val="00336984"/>
    <w:rsid w:val="00336999"/>
    <w:rsid w:val="00336ACC"/>
    <w:rsid w:val="00336BD3"/>
    <w:rsid w:val="00336C1E"/>
    <w:rsid w:val="003370A0"/>
    <w:rsid w:val="00337250"/>
    <w:rsid w:val="00337283"/>
    <w:rsid w:val="0033738A"/>
    <w:rsid w:val="003373DD"/>
    <w:rsid w:val="0033749A"/>
    <w:rsid w:val="0033755F"/>
    <w:rsid w:val="003376A8"/>
    <w:rsid w:val="003376D5"/>
    <w:rsid w:val="00337723"/>
    <w:rsid w:val="003377D3"/>
    <w:rsid w:val="003377F1"/>
    <w:rsid w:val="00337870"/>
    <w:rsid w:val="00340355"/>
    <w:rsid w:val="0034061B"/>
    <w:rsid w:val="003407C0"/>
    <w:rsid w:val="00340842"/>
    <w:rsid w:val="00340AA0"/>
    <w:rsid w:val="00340E6E"/>
    <w:rsid w:val="0034101F"/>
    <w:rsid w:val="0034105C"/>
    <w:rsid w:val="00341088"/>
    <w:rsid w:val="00341191"/>
    <w:rsid w:val="00341320"/>
    <w:rsid w:val="003415B5"/>
    <w:rsid w:val="003415D7"/>
    <w:rsid w:val="00341651"/>
    <w:rsid w:val="0034171D"/>
    <w:rsid w:val="003417E9"/>
    <w:rsid w:val="00341804"/>
    <w:rsid w:val="00341861"/>
    <w:rsid w:val="00341D2D"/>
    <w:rsid w:val="00342005"/>
    <w:rsid w:val="0034200C"/>
    <w:rsid w:val="0034238E"/>
    <w:rsid w:val="003423C9"/>
    <w:rsid w:val="003426B5"/>
    <w:rsid w:val="00342788"/>
    <w:rsid w:val="00342868"/>
    <w:rsid w:val="00342B8A"/>
    <w:rsid w:val="00342C76"/>
    <w:rsid w:val="00342D7B"/>
    <w:rsid w:val="00342E9C"/>
    <w:rsid w:val="00343019"/>
    <w:rsid w:val="0034326E"/>
    <w:rsid w:val="003432E7"/>
    <w:rsid w:val="0034333A"/>
    <w:rsid w:val="00343376"/>
    <w:rsid w:val="00343487"/>
    <w:rsid w:val="0034355E"/>
    <w:rsid w:val="003435AA"/>
    <w:rsid w:val="0034395B"/>
    <w:rsid w:val="00343A39"/>
    <w:rsid w:val="00343BCA"/>
    <w:rsid w:val="00343CBD"/>
    <w:rsid w:val="00343D48"/>
    <w:rsid w:val="00343F82"/>
    <w:rsid w:val="0034410A"/>
    <w:rsid w:val="00344313"/>
    <w:rsid w:val="003444DE"/>
    <w:rsid w:val="00344555"/>
    <w:rsid w:val="003448F6"/>
    <w:rsid w:val="00344BCD"/>
    <w:rsid w:val="00345341"/>
    <w:rsid w:val="00345770"/>
    <w:rsid w:val="00345999"/>
    <w:rsid w:val="00345C11"/>
    <w:rsid w:val="00345D48"/>
    <w:rsid w:val="00345DD4"/>
    <w:rsid w:val="00345E24"/>
    <w:rsid w:val="00345FB9"/>
    <w:rsid w:val="0034603E"/>
    <w:rsid w:val="0034613E"/>
    <w:rsid w:val="00346333"/>
    <w:rsid w:val="003466C8"/>
    <w:rsid w:val="0034672D"/>
    <w:rsid w:val="00346797"/>
    <w:rsid w:val="003467B5"/>
    <w:rsid w:val="003467DA"/>
    <w:rsid w:val="003467FC"/>
    <w:rsid w:val="00346862"/>
    <w:rsid w:val="00346ACA"/>
    <w:rsid w:val="00346BAA"/>
    <w:rsid w:val="00346CD9"/>
    <w:rsid w:val="00346DAE"/>
    <w:rsid w:val="003471E8"/>
    <w:rsid w:val="00347252"/>
    <w:rsid w:val="0034728F"/>
    <w:rsid w:val="00347782"/>
    <w:rsid w:val="00347879"/>
    <w:rsid w:val="00347B19"/>
    <w:rsid w:val="00347BC6"/>
    <w:rsid w:val="00347C26"/>
    <w:rsid w:val="00347F70"/>
    <w:rsid w:val="00350268"/>
    <w:rsid w:val="00350441"/>
    <w:rsid w:val="0035066A"/>
    <w:rsid w:val="00350759"/>
    <w:rsid w:val="00350818"/>
    <w:rsid w:val="003509D8"/>
    <w:rsid w:val="00350A2E"/>
    <w:rsid w:val="00350E81"/>
    <w:rsid w:val="00351344"/>
    <w:rsid w:val="0035158C"/>
    <w:rsid w:val="0035171D"/>
    <w:rsid w:val="003517C5"/>
    <w:rsid w:val="0035184E"/>
    <w:rsid w:val="00351C74"/>
    <w:rsid w:val="00351CFA"/>
    <w:rsid w:val="00351FCB"/>
    <w:rsid w:val="003520A7"/>
    <w:rsid w:val="0035236D"/>
    <w:rsid w:val="0035254E"/>
    <w:rsid w:val="003529F1"/>
    <w:rsid w:val="00353030"/>
    <w:rsid w:val="00353629"/>
    <w:rsid w:val="00353C4E"/>
    <w:rsid w:val="00353CCB"/>
    <w:rsid w:val="00353DEF"/>
    <w:rsid w:val="00354028"/>
    <w:rsid w:val="00354191"/>
    <w:rsid w:val="003542F9"/>
    <w:rsid w:val="00354501"/>
    <w:rsid w:val="0035456D"/>
    <w:rsid w:val="00354742"/>
    <w:rsid w:val="00354AC7"/>
    <w:rsid w:val="00354B11"/>
    <w:rsid w:val="00354C37"/>
    <w:rsid w:val="00354C46"/>
    <w:rsid w:val="00354D27"/>
    <w:rsid w:val="00354D65"/>
    <w:rsid w:val="00354EEF"/>
    <w:rsid w:val="003552D5"/>
    <w:rsid w:val="003553D0"/>
    <w:rsid w:val="003554A1"/>
    <w:rsid w:val="00355766"/>
    <w:rsid w:val="0035593B"/>
    <w:rsid w:val="00355B11"/>
    <w:rsid w:val="00355CE8"/>
    <w:rsid w:val="00355CFD"/>
    <w:rsid w:val="00355D11"/>
    <w:rsid w:val="00355D13"/>
    <w:rsid w:val="00355DA5"/>
    <w:rsid w:val="00355F64"/>
    <w:rsid w:val="00356136"/>
    <w:rsid w:val="003561A2"/>
    <w:rsid w:val="00356357"/>
    <w:rsid w:val="003563A1"/>
    <w:rsid w:val="003563F7"/>
    <w:rsid w:val="00356697"/>
    <w:rsid w:val="00356A7F"/>
    <w:rsid w:val="00356B39"/>
    <w:rsid w:val="00356F3A"/>
    <w:rsid w:val="00356F88"/>
    <w:rsid w:val="003571C8"/>
    <w:rsid w:val="0035738A"/>
    <w:rsid w:val="0035761B"/>
    <w:rsid w:val="0035767B"/>
    <w:rsid w:val="00357700"/>
    <w:rsid w:val="003577BC"/>
    <w:rsid w:val="00357A04"/>
    <w:rsid w:val="00357ADE"/>
    <w:rsid w:val="00357B1E"/>
    <w:rsid w:val="00357CA5"/>
    <w:rsid w:val="00357D22"/>
    <w:rsid w:val="00357E42"/>
    <w:rsid w:val="00357E97"/>
    <w:rsid w:val="00357F64"/>
    <w:rsid w:val="0036009F"/>
    <w:rsid w:val="003602B1"/>
    <w:rsid w:val="00360771"/>
    <w:rsid w:val="00360939"/>
    <w:rsid w:val="003609F0"/>
    <w:rsid w:val="00360C1E"/>
    <w:rsid w:val="00360C75"/>
    <w:rsid w:val="00360C93"/>
    <w:rsid w:val="00360FAB"/>
    <w:rsid w:val="00361001"/>
    <w:rsid w:val="003611BC"/>
    <w:rsid w:val="00361365"/>
    <w:rsid w:val="003618DF"/>
    <w:rsid w:val="00361A4F"/>
    <w:rsid w:val="00361C27"/>
    <w:rsid w:val="00361C70"/>
    <w:rsid w:val="00361EE4"/>
    <w:rsid w:val="00361F3B"/>
    <w:rsid w:val="00362239"/>
    <w:rsid w:val="003624E3"/>
    <w:rsid w:val="00362638"/>
    <w:rsid w:val="00362771"/>
    <w:rsid w:val="00362877"/>
    <w:rsid w:val="00362BDC"/>
    <w:rsid w:val="00362DC2"/>
    <w:rsid w:val="00362E4D"/>
    <w:rsid w:val="00362F25"/>
    <w:rsid w:val="00362F35"/>
    <w:rsid w:val="00362F7D"/>
    <w:rsid w:val="00363003"/>
    <w:rsid w:val="003631A6"/>
    <w:rsid w:val="00363219"/>
    <w:rsid w:val="003632CD"/>
    <w:rsid w:val="00363304"/>
    <w:rsid w:val="003635AA"/>
    <w:rsid w:val="003636DA"/>
    <w:rsid w:val="00363AB3"/>
    <w:rsid w:val="00363B37"/>
    <w:rsid w:val="00363CF5"/>
    <w:rsid w:val="00363F74"/>
    <w:rsid w:val="003640CE"/>
    <w:rsid w:val="003641EC"/>
    <w:rsid w:val="003647F8"/>
    <w:rsid w:val="00364830"/>
    <w:rsid w:val="003648EA"/>
    <w:rsid w:val="00364B2D"/>
    <w:rsid w:val="00364BCC"/>
    <w:rsid w:val="00364E51"/>
    <w:rsid w:val="00365030"/>
    <w:rsid w:val="003650B0"/>
    <w:rsid w:val="00365155"/>
    <w:rsid w:val="00365214"/>
    <w:rsid w:val="003652A2"/>
    <w:rsid w:val="003652DC"/>
    <w:rsid w:val="0036535C"/>
    <w:rsid w:val="0036543C"/>
    <w:rsid w:val="00365623"/>
    <w:rsid w:val="0036568C"/>
    <w:rsid w:val="0036582E"/>
    <w:rsid w:val="003658A9"/>
    <w:rsid w:val="00365AF3"/>
    <w:rsid w:val="00365B8A"/>
    <w:rsid w:val="00365D22"/>
    <w:rsid w:val="00365F4A"/>
    <w:rsid w:val="0036600F"/>
    <w:rsid w:val="00366233"/>
    <w:rsid w:val="0036624C"/>
    <w:rsid w:val="003664C6"/>
    <w:rsid w:val="0036663D"/>
    <w:rsid w:val="003667CC"/>
    <w:rsid w:val="00366986"/>
    <w:rsid w:val="00366AE4"/>
    <w:rsid w:val="00366C11"/>
    <w:rsid w:val="00366C2A"/>
    <w:rsid w:val="00366CB8"/>
    <w:rsid w:val="00366CE6"/>
    <w:rsid w:val="00367186"/>
    <w:rsid w:val="003671D3"/>
    <w:rsid w:val="00367334"/>
    <w:rsid w:val="0036744D"/>
    <w:rsid w:val="00367534"/>
    <w:rsid w:val="0036760C"/>
    <w:rsid w:val="0036779B"/>
    <w:rsid w:val="003678CB"/>
    <w:rsid w:val="0036791C"/>
    <w:rsid w:val="00367B83"/>
    <w:rsid w:val="00367BA5"/>
    <w:rsid w:val="00367F57"/>
    <w:rsid w:val="00370067"/>
    <w:rsid w:val="00370071"/>
    <w:rsid w:val="003700D1"/>
    <w:rsid w:val="003701DF"/>
    <w:rsid w:val="003701F5"/>
    <w:rsid w:val="00370260"/>
    <w:rsid w:val="00370646"/>
    <w:rsid w:val="0037066F"/>
    <w:rsid w:val="00370731"/>
    <w:rsid w:val="00370984"/>
    <w:rsid w:val="003709B1"/>
    <w:rsid w:val="00370B1B"/>
    <w:rsid w:val="00370E4A"/>
    <w:rsid w:val="00370F9A"/>
    <w:rsid w:val="00371135"/>
    <w:rsid w:val="003711AF"/>
    <w:rsid w:val="0037157B"/>
    <w:rsid w:val="003715A0"/>
    <w:rsid w:val="0037183C"/>
    <w:rsid w:val="00371B9B"/>
    <w:rsid w:val="00371C3F"/>
    <w:rsid w:val="00371CED"/>
    <w:rsid w:val="00371D2E"/>
    <w:rsid w:val="00371FD5"/>
    <w:rsid w:val="003721C5"/>
    <w:rsid w:val="00372357"/>
    <w:rsid w:val="0037238C"/>
    <w:rsid w:val="00372427"/>
    <w:rsid w:val="00372444"/>
    <w:rsid w:val="003724DB"/>
    <w:rsid w:val="00372667"/>
    <w:rsid w:val="003726B9"/>
    <w:rsid w:val="003726E0"/>
    <w:rsid w:val="003728FD"/>
    <w:rsid w:val="00372B5A"/>
    <w:rsid w:val="00372C2A"/>
    <w:rsid w:val="00372E0B"/>
    <w:rsid w:val="00372E29"/>
    <w:rsid w:val="00372ECA"/>
    <w:rsid w:val="003730A9"/>
    <w:rsid w:val="00373352"/>
    <w:rsid w:val="003733FA"/>
    <w:rsid w:val="00373776"/>
    <w:rsid w:val="00373788"/>
    <w:rsid w:val="00373972"/>
    <w:rsid w:val="00373B82"/>
    <w:rsid w:val="00373C8C"/>
    <w:rsid w:val="00373CFD"/>
    <w:rsid w:val="00373D78"/>
    <w:rsid w:val="00373DC6"/>
    <w:rsid w:val="00374146"/>
    <w:rsid w:val="00374177"/>
    <w:rsid w:val="0037436D"/>
    <w:rsid w:val="003745F2"/>
    <w:rsid w:val="0037478E"/>
    <w:rsid w:val="00374AAF"/>
    <w:rsid w:val="00374B0C"/>
    <w:rsid w:val="00374E0B"/>
    <w:rsid w:val="00374E75"/>
    <w:rsid w:val="00374FC0"/>
    <w:rsid w:val="00374FCC"/>
    <w:rsid w:val="00374FF3"/>
    <w:rsid w:val="0037503D"/>
    <w:rsid w:val="003751BD"/>
    <w:rsid w:val="003752D2"/>
    <w:rsid w:val="003755D0"/>
    <w:rsid w:val="0037562D"/>
    <w:rsid w:val="00375655"/>
    <w:rsid w:val="003756CF"/>
    <w:rsid w:val="003758A4"/>
    <w:rsid w:val="003759CD"/>
    <w:rsid w:val="00375B27"/>
    <w:rsid w:val="00375B3E"/>
    <w:rsid w:val="00375F90"/>
    <w:rsid w:val="00375FC4"/>
    <w:rsid w:val="003762E2"/>
    <w:rsid w:val="0037640D"/>
    <w:rsid w:val="00376539"/>
    <w:rsid w:val="00376580"/>
    <w:rsid w:val="00376689"/>
    <w:rsid w:val="003767E5"/>
    <w:rsid w:val="00376862"/>
    <w:rsid w:val="00377052"/>
    <w:rsid w:val="0037705B"/>
    <w:rsid w:val="0037709E"/>
    <w:rsid w:val="003770FA"/>
    <w:rsid w:val="0037720B"/>
    <w:rsid w:val="003773C1"/>
    <w:rsid w:val="00377589"/>
    <w:rsid w:val="003775D1"/>
    <w:rsid w:val="003779B3"/>
    <w:rsid w:val="00377B38"/>
    <w:rsid w:val="00377BEB"/>
    <w:rsid w:val="00377C02"/>
    <w:rsid w:val="00377C49"/>
    <w:rsid w:val="00377C62"/>
    <w:rsid w:val="00377C65"/>
    <w:rsid w:val="00377C7C"/>
    <w:rsid w:val="00377CCF"/>
    <w:rsid w:val="00380079"/>
    <w:rsid w:val="00380169"/>
    <w:rsid w:val="00380259"/>
    <w:rsid w:val="00380402"/>
    <w:rsid w:val="0038062E"/>
    <w:rsid w:val="00380773"/>
    <w:rsid w:val="0038081C"/>
    <w:rsid w:val="00380A2F"/>
    <w:rsid w:val="00380B73"/>
    <w:rsid w:val="00380B97"/>
    <w:rsid w:val="00380C6E"/>
    <w:rsid w:val="00380FAD"/>
    <w:rsid w:val="00381077"/>
    <w:rsid w:val="0038119D"/>
    <w:rsid w:val="0038130A"/>
    <w:rsid w:val="00381577"/>
    <w:rsid w:val="0038157D"/>
    <w:rsid w:val="00381624"/>
    <w:rsid w:val="003816AF"/>
    <w:rsid w:val="003817FD"/>
    <w:rsid w:val="00381D8A"/>
    <w:rsid w:val="00381E7D"/>
    <w:rsid w:val="00382251"/>
    <w:rsid w:val="00382452"/>
    <w:rsid w:val="003828DE"/>
    <w:rsid w:val="003829FB"/>
    <w:rsid w:val="00382B34"/>
    <w:rsid w:val="00382F09"/>
    <w:rsid w:val="00382FDF"/>
    <w:rsid w:val="0038303B"/>
    <w:rsid w:val="00383077"/>
    <w:rsid w:val="00383130"/>
    <w:rsid w:val="003833FA"/>
    <w:rsid w:val="0038375A"/>
    <w:rsid w:val="00383A94"/>
    <w:rsid w:val="00384418"/>
    <w:rsid w:val="003844A5"/>
    <w:rsid w:val="00384517"/>
    <w:rsid w:val="00384571"/>
    <w:rsid w:val="00384579"/>
    <w:rsid w:val="00384684"/>
    <w:rsid w:val="003846FF"/>
    <w:rsid w:val="003848F5"/>
    <w:rsid w:val="00384D25"/>
    <w:rsid w:val="00384D5C"/>
    <w:rsid w:val="003850B5"/>
    <w:rsid w:val="0038524B"/>
    <w:rsid w:val="00385375"/>
    <w:rsid w:val="00385406"/>
    <w:rsid w:val="0038556D"/>
    <w:rsid w:val="003858A6"/>
    <w:rsid w:val="0038591D"/>
    <w:rsid w:val="003859A1"/>
    <w:rsid w:val="00385ADE"/>
    <w:rsid w:val="00385BF5"/>
    <w:rsid w:val="00385DBB"/>
    <w:rsid w:val="00385EF7"/>
    <w:rsid w:val="00385EFB"/>
    <w:rsid w:val="00386164"/>
    <w:rsid w:val="00386297"/>
    <w:rsid w:val="003862C1"/>
    <w:rsid w:val="003862C6"/>
    <w:rsid w:val="003865BE"/>
    <w:rsid w:val="003865C2"/>
    <w:rsid w:val="00386811"/>
    <w:rsid w:val="00386867"/>
    <w:rsid w:val="003868D5"/>
    <w:rsid w:val="0038695A"/>
    <w:rsid w:val="00386A1C"/>
    <w:rsid w:val="00386D34"/>
    <w:rsid w:val="00386D94"/>
    <w:rsid w:val="003871F9"/>
    <w:rsid w:val="003872C4"/>
    <w:rsid w:val="003873C1"/>
    <w:rsid w:val="00387451"/>
    <w:rsid w:val="0038753F"/>
    <w:rsid w:val="0038760D"/>
    <w:rsid w:val="00387783"/>
    <w:rsid w:val="003877EB"/>
    <w:rsid w:val="00387A18"/>
    <w:rsid w:val="00387AA6"/>
    <w:rsid w:val="00387ABE"/>
    <w:rsid w:val="00387C09"/>
    <w:rsid w:val="00387CBF"/>
    <w:rsid w:val="00387D64"/>
    <w:rsid w:val="00387EB0"/>
    <w:rsid w:val="00387F18"/>
    <w:rsid w:val="00390227"/>
    <w:rsid w:val="003902D8"/>
    <w:rsid w:val="00390475"/>
    <w:rsid w:val="00390558"/>
    <w:rsid w:val="00390705"/>
    <w:rsid w:val="00390754"/>
    <w:rsid w:val="00390787"/>
    <w:rsid w:val="003907CB"/>
    <w:rsid w:val="00390A94"/>
    <w:rsid w:val="00390AF0"/>
    <w:rsid w:val="00390B58"/>
    <w:rsid w:val="003912BA"/>
    <w:rsid w:val="003912D0"/>
    <w:rsid w:val="003914EA"/>
    <w:rsid w:val="00391660"/>
    <w:rsid w:val="00391706"/>
    <w:rsid w:val="00391785"/>
    <w:rsid w:val="0039186D"/>
    <w:rsid w:val="00391877"/>
    <w:rsid w:val="00391905"/>
    <w:rsid w:val="003919DB"/>
    <w:rsid w:val="00391AC5"/>
    <w:rsid w:val="00391C02"/>
    <w:rsid w:val="00391CC1"/>
    <w:rsid w:val="00391D46"/>
    <w:rsid w:val="00391E59"/>
    <w:rsid w:val="00392075"/>
    <w:rsid w:val="00392100"/>
    <w:rsid w:val="00392114"/>
    <w:rsid w:val="003927FF"/>
    <w:rsid w:val="00392826"/>
    <w:rsid w:val="00392859"/>
    <w:rsid w:val="00392951"/>
    <w:rsid w:val="00392B22"/>
    <w:rsid w:val="00392C36"/>
    <w:rsid w:val="00392D93"/>
    <w:rsid w:val="00392DCC"/>
    <w:rsid w:val="003933A9"/>
    <w:rsid w:val="0039344A"/>
    <w:rsid w:val="0039346B"/>
    <w:rsid w:val="00393935"/>
    <w:rsid w:val="00393EBD"/>
    <w:rsid w:val="00393F3F"/>
    <w:rsid w:val="003941A7"/>
    <w:rsid w:val="0039441B"/>
    <w:rsid w:val="003944C6"/>
    <w:rsid w:val="00394553"/>
    <w:rsid w:val="00394748"/>
    <w:rsid w:val="0039479E"/>
    <w:rsid w:val="00394AD8"/>
    <w:rsid w:val="00394D83"/>
    <w:rsid w:val="00394E33"/>
    <w:rsid w:val="00394F85"/>
    <w:rsid w:val="00394F8B"/>
    <w:rsid w:val="00395181"/>
    <w:rsid w:val="0039549F"/>
    <w:rsid w:val="0039581B"/>
    <w:rsid w:val="003958EB"/>
    <w:rsid w:val="00395ACC"/>
    <w:rsid w:val="00395BC1"/>
    <w:rsid w:val="00395D65"/>
    <w:rsid w:val="00395DB5"/>
    <w:rsid w:val="00395F68"/>
    <w:rsid w:val="00396088"/>
    <w:rsid w:val="00396452"/>
    <w:rsid w:val="003966FF"/>
    <w:rsid w:val="0039689A"/>
    <w:rsid w:val="00396AFB"/>
    <w:rsid w:val="00396BC8"/>
    <w:rsid w:val="00396BE3"/>
    <w:rsid w:val="00396DE2"/>
    <w:rsid w:val="00397006"/>
    <w:rsid w:val="0039704B"/>
    <w:rsid w:val="003970AB"/>
    <w:rsid w:val="003970CA"/>
    <w:rsid w:val="003971CF"/>
    <w:rsid w:val="003975EF"/>
    <w:rsid w:val="003976B4"/>
    <w:rsid w:val="0039772A"/>
    <w:rsid w:val="003978FD"/>
    <w:rsid w:val="00397BB5"/>
    <w:rsid w:val="003A0065"/>
    <w:rsid w:val="003A0076"/>
    <w:rsid w:val="003A0204"/>
    <w:rsid w:val="003A04DC"/>
    <w:rsid w:val="003A0552"/>
    <w:rsid w:val="003A0594"/>
    <w:rsid w:val="003A08A2"/>
    <w:rsid w:val="003A08DA"/>
    <w:rsid w:val="003A0946"/>
    <w:rsid w:val="003A0AA2"/>
    <w:rsid w:val="003A0B40"/>
    <w:rsid w:val="003A0BED"/>
    <w:rsid w:val="003A1194"/>
    <w:rsid w:val="003A1354"/>
    <w:rsid w:val="003A1439"/>
    <w:rsid w:val="003A159F"/>
    <w:rsid w:val="003A15B2"/>
    <w:rsid w:val="003A1798"/>
    <w:rsid w:val="003A1929"/>
    <w:rsid w:val="003A19FC"/>
    <w:rsid w:val="003A1A70"/>
    <w:rsid w:val="003A1C4B"/>
    <w:rsid w:val="003A209C"/>
    <w:rsid w:val="003A20ED"/>
    <w:rsid w:val="003A2438"/>
    <w:rsid w:val="003A24BB"/>
    <w:rsid w:val="003A26EF"/>
    <w:rsid w:val="003A27CE"/>
    <w:rsid w:val="003A2A4F"/>
    <w:rsid w:val="003A2E52"/>
    <w:rsid w:val="003A2E7D"/>
    <w:rsid w:val="003A303E"/>
    <w:rsid w:val="003A30A1"/>
    <w:rsid w:val="003A30E5"/>
    <w:rsid w:val="003A3221"/>
    <w:rsid w:val="003A32F0"/>
    <w:rsid w:val="003A35BE"/>
    <w:rsid w:val="003A35C4"/>
    <w:rsid w:val="003A3694"/>
    <w:rsid w:val="003A370E"/>
    <w:rsid w:val="003A390D"/>
    <w:rsid w:val="003A3929"/>
    <w:rsid w:val="003A39B7"/>
    <w:rsid w:val="003A3BE3"/>
    <w:rsid w:val="003A3CDC"/>
    <w:rsid w:val="003A3E24"/>
    <w:rsid w:val="003A4070"/>
    <w:rsid w:val="003A418D"/>
    <w:rsid w:val="003A41D3"/>
    <w:rsid w:val="003A42F2"/>
    <w:rsid w:val="003A4334"/>
    <w:rsid w:val="003A4512"/>
    <w:rsid w:val="003A452E"/>
    <w:rsid w:val="003A4744"/>
    <w:rsid w:val="003A492D"/>
    <w:rsid w:val="003A4BC3"/>
    <w:rsid w:val="003A4C5A"/>
    <w:rsid w:val="003A4E5A"/>
    <w:rsid w:val="003A4F86"/>
    <w:rsid w:val="003A50B2"/>
    <w:rsid w:val="003A50D7"/>
    <w:rsid w:val="003A5166"/>
    <w:rsid w:val="003A519E"/>
    <w:rsid w:val="003A53E8"/>
    <w:rsid w:val="003A5983"/>
    <w:rsid w:val="003A5B36"/>
    <w:rsid w:val="003A5C9E"/>
    <w:rsid w:val="003A5CE7"/>
    <w:rsid w:val="003A5E85"/>
    <w:rsid w:val="003A6020"/>
    <w:rsid w:val="003A60C2"/>
    <w:rsid w:val="003A618A"/>
    <w:rsid w:val="003A61F9"/>
    <w:rsid w:val="003A630C"/>
    <w:rsid w:val="003A6310"/>
    <w:rsid w:val="003A64BD"/>
    <w:rsid w:val="003A655B"/>
    <w:rsid w:val="003A65A3"/>
    <w:rsid w:val="003A6639"/>
    <w:rsid w:val="003A688F"/>
    <w:rsid w:val="003A68B9"/>
    <w:rsid w:val="003A6989"/>
    <w:rsid w:val="003A69CD"/>
    <w:rsid w:val="003A6ADA"/>
    <w:rsid w:val="003A6B58"/>
    <w:rsid w:val="003A6CB9"/>
    <w:rsid w:val="003A6E8C"/>
    <w:rsid w:val="003A6FA5"/>
    <w:rsid w:val="003A7142"/>
    <w:rsid w:val="003A748D"/>
    <w:rsid w:val="003A7765"/>
    <w:rsid w:val="003A7B53"/>
    <w:rsid w:val="003A7F36"/>
    <w:rsid w:val="003B0009"/>
    <w:rsid w:val="003B0083"/>
    <w:rsid w:val="003B00E3"/>
    <w:rsid w:val="003B037F"/>
    <w:rsid w:val="003B0489"/>
    <w:rsid w:val="003B04DA"/>
    <w:rsid w:val="003B06F2"/>
    <w:rsid w:val="003B0715"/>
    <w:rsid w:val="003B079E"/>
    <w:rsid w:val="003B07EE"/>
    <w:rsid w:val="003B08A1"/>
    <w:rsid w:val="003B098C"/>
    <w:rsid w:val="003B0AB4"/>
    <w:rsid w:val="003B0B68"/>
    <w:rsid w:val="003B0E3F"/>
    <w:rsid w:val="003B10D4"/>
    <w:rsid w:val="003B1427"/>
    <w:rsid w:val="003B158F"/>
    <w:rsid w:val="003B173D"/>
    <w:rsid w:val="003B1812"/>
    <w:rsid w:val="003B1849"/>
    <w:rsid w:val="003B1FF6"/>
    <w:rsid w:val="003B20DB"/>
    <w:rsid w:val="003B21D2"/>
    <w:rsid w:val="003B24E3"/>
    <w:rsid w:val="003B251D"/>
    <w:rsid w:val="003B257B"/>
    <w:rsid w:val="003B25A6"/>
    <w:rsid w:val="003B27CA"/>
    <w:rsid w:val="003B2B82"/>
    <w:rsid w:val="003B2C34"/>
    <w:rsid w:val="003B2CE1"/>
    <w:rsid w:val="003B2DCD"/>
    <w:rsid w:val="003B2EE6"/>
    <w:rsid w:val="003B347D"/>
    <w:rsid w:val="003B3852"/>
    <w:rsid w:val="003B3960"/>
    <w:rsid w:val="003B3B27"/>
    <w:rsid w:val="003B3DBC"/>
    <w:rsid w:val="003B3E90"/>
    <w:rsid w:val="003B4038"/>
    <w:rsid w:val="003B4181"/>
    <w:rsid w:val="003B4229"/>
    <w:rsid w:val="003B4381"/>
    <w:rsid w:val="003B4473"/>
    <w:rsid w:val="003B4552"/>
    <w:rsid w:val="003B45EF"/>
    <w:rsid w:val="003B460E"/>
    <w:rsid w:val="003B494B"/>
    <w:rsid w:val="003B4B40"/>
    <w:rsid w:val="003B4C6E"/>
    <w:rsid w:val="003B4CD5"/>
    <w:rsid w:val="003B4D0A"/>
    <w:rsid w:val="003B4D3E"/>
    <w:rsid w:val="003B50F8"/>
    <w:rsid w:val="003B5230"/>
    <w:rsid w:val="003B530D"/>
    <w:rsid w:val="003B5504"/>
    <w:rsid w:val="003B5513"/>
    <w:rsid w:val="003B568A"/>
    <w:rsid w:val="003B5707"/>
    <w:rsid w:val="003B5929"/>
    <w:rsid w:val="003B5ADB"/>
    <w:rsid w:val="003B5D0F"/>
    <w:rsid w:val="003B6024"/>
    <w:rsid w:val="003B60D4"/>
    <w:rsid w:val="003B6385"/>
    <w:rsid w:val="003B63B8"/>
    <w:rsid w:val="003B65ED"/>
    <w:rsid w:val="003B662A"/>
    <w:rsid w:val="003B669E"/>
    <w:rsid w:val="003B670D"/>
    <w:rsid w:val="003B68A3"/>
    <w:rsid w:val="003B6D8A"/>
    <w:rsid w:val="003B6E30"/>
    <w:rsid w:val="003B6E4D"/>
    <w:rsid w:val="003B726F"/>
    <w:rsid w:val="003B7627"/>
    <w:rsid w:val="003B7807"/>
    <w:rsid w:val="003B791F"/>
    <w:rsid w:val="003B792F"/>
    <w:rsid w:val="003B7B9A"/>
    <w:rsid w:val="003B7C2B"/>
    <w:rsid w:val="003C02DD"/>
    <w:rsid w:val="003C054F"/>
    <w:rsid w:val="003C05CE"/>
    <w:rsid w:val="003C05DE"/>
    <w:rsid w:val="003C0840"/>
    <w:rsid w:val="003C0B71"/>
    <w:rsid w:val="003C0D25"/>
    <w:rsid w:val="003C1119"/>
    <w:rsid w:val="003C137A"/>
    <w:rsid w:val="003C1728"/>
    <w:rsid w:val="003C172F"/>
    <w:rsid w:val="003C17B8"/>
    <w:rsid w:val="003C198E"/>
    <w:rsid w:val="003C1A01"/>
    <w:rsid w:val="003C1A7B"/>
    <w:rsid w:val="003C1ED2"/>
    <w:rsid w:val="003C2138"/>
    <w:rsid w:val="003C23DA"/>
    <w:rsid w:val="003C23E5"/>
    <w:rsid w:val="003C2429"/>
    <w:rsid w:val="003C24AA"/>
    <w:rsid w:val="003C24AB"/>
    <w:rsid w:val="003C24B4"/>
    <w:rsid w:val="003C260B"/>
    <w:rsid w:val="003C2845"/>
    <w:rsid w:val="003C2D60"/>
    <w:rsid w:val="003C3177"/>
    <w:rsid w:val="003C32DE"/>
    <w:rsid w:val="003C3649"/>
    <w:rsid w:val="003C3722"/>
    <w:rsid w:val="003C37A5"/>
    <w:rsid w:val="003C37F0"/>
    <w:rsid w:val="003C3ECF"/>
    <w:rsid w:val="003C4143"/>
    <w:rsid w:val="003C4150"/>
    <w:rsid w:val="003C42DE"/>
    <w:rsid w:val="003C4434"/>
    <w:rsid w:val="003C4550"/>
    <w:rsid w:val="003C4C91"/>
    <w:rsid w:val="003C4D05"/>
    <w:rsid w:val="003C50E8"/>
    <w:rsid w:val="003C5356"/>
    <w:rsid w:val="003C5423"/>
    <w:rsid w:val="003C547C"/>
    <w:rsid w:val="003C5494"/>
    <w:rsid w:val="003C588D"/>
    <w:rsid w:val="003C5AB3"/>
    <w:rsid w:val="003C5D6F"/>
    <w:rsid w:val="003C5F54"/>
    <w:rsid w:val="003C628C"/>
    <w:rsid w:val="003C635A"/>
    <w:rsid w:val="003C6772"/>
    <w:rsid w:val="003C67F7"/>
    <w:rsid w:val="003C67FD"/>
    <w:rsid w:val="003C68D8"/>
    <w:rsid w:val="003C6A78"/>
    <w:rsid w:val="003C6B29"/>
    <w:rsid w:val="003C6E95"/>
    <w:rsid w:val="003C6F16"/>
    <w:rsid w:val="003C706E"/>
    <w:rsid w:val="003C7317"/>
    <w:rsid w:val="003C73D3"/>
    <w:rsid w:val="003C73EE"/>
    <w:rsid w:val="003C74D1"/>
    <w:rsid w:val="003C7558"/>
    <w:rsid w:val="003C77F8"/>
    <w:rsid w:val="003C78F9"/>
    <w:rsid w:val="003C79B3"/>
    <w:rsid w:val="003C7ECB"/>
    <w:rsid w:val="003D0013"/>
    <w:rsid w:val="003D08D8"/>
    <w:rsid w:val="003D09B3"/>
    <w:rsid w:val="003D0BAB"/>
    <w:rsid w:val="003D0C1F"/>
    <w:rsid w:val="003D0D0A"/>
    <w:rsid w:val="003D0DE2"/>
    <w:rsid w:val="003D0E44"/>
    <w:rsid w:val="003D1101"/>
    <w:rsid w:val="003D111A"/>
    <w:rsid w:val="003D1206"/>
    <w:rsid w:val="003D12DB"/>
    <w:rsid w:val="003D16AF"/>
    <w:rsid w:val="003D1773"/>
    <w:rsid w:val="003D1876"/>
    <w:rsid w:val="003D1911"/>
    <w:rsid w:val="003D1A3E"/>
    <w:rsid w:val="003D1CBB"/>
    <w:rsid w:val="003D1E62"/>
    <w:rsid w:val="003D1EDC"/>
    <w:rsid w:val="003D22DD"/>
    <w:rsid w:val="003D23BC"/>
    <w:rsid w:val="003D24EC"/>
    <w:rsid w:val="003D2513"/>
    <w:rsid w:val="003D2557"/>
    <w:rsid w:val="003D26B0"/>
    <w:rsid w:val="003D2D0E"/>
    <w:rsid w:val="003D2D33"/>
    <w:rsid w:val="003D2F3E"/>
    <w:rsid w:val="003D3132"/>
    <w:rsid w:val="003D3165"/>
    <w:rsid w:val="003D3371"/>
    <w:rsid w:val="003D33D9"/>
    <w:rsid w:val="003D37D5"/>
    <w:rsid w:val="003D3DA6"/>
    <w:rsid w:val="003D3E83"/>
    <w:rsid w:val="003D405A"/>
    <w:rsid w:val="003D413F"/>
    <w:rsid w:val="003D41AA"/>
    <w:rsid w:val="003D41ED"/>
    <w:rsid w:val="003D4243"/>
    <w:rsid w:val="003D47B9"/>
    <w:rsid w:val="003D4974"/>
    <w:rsid w:val="003D49E2"/>
    <w:rsid w:val="003D4BB6"/>
    <w:rsid w:val="003D4EBA"/>
    <w:rsid w:val="003D4F3E"/>
    <w:rsid w:val="003D4F98"/>
    <w:rsid w:val="003D4FC8"/>
    <w:rsid w:val="003D502E"/>
    <w:rsid w:val="003D512E"/>
    <w:rsid w:val="003D5691"/>
    <w:rsid w:val="003D5699"/>
    <w:rsid w:val="003D56CB"/>
    <w:rsid w:val="003D5705"/>
    <w:rsid w:val="003D5CFD"/>
    <w:rsid w:val="003D5E96"/>
    <w:rsid w:val="003D6118"/>
    <w:rsid w:val="003D65B5"/>
    <w:rsid w:val="003D6702"/>
    <w:rsid w:val="003D67EA"/>
    <w:rsid w:val="003D687E"/>
    <w:rsid w:val="003D6A3B"/>
    <w:rsid w:val="003D6B75"/>
    <w:rsid w:val="003D6CB0"/>
    <w:rsid w:val="003D6DA4"/>
    <w:rsid w:val="003D6E5D"/>
    <w:rsid w:val="003D6F1E"/>
    <w:rsid w:val="003D6F43"/>
    <w:rsid w:val="003D7133"/>
    <w:rsid w:val="003D7571"/>
    <w:rsid w:val="003D7695"/>
    <w:rsid w:val="003D7CB5"/>
    <w:rsid w:val="003D7DA2"/>
    <w:rsid w:val="003D7E19"/>
    <w:rsid w:val="003D7E47"/>
    <w:rsid w:val="003D7FA2"/>
    <w:rsid w:val="003E0195"/>
    <w:rsid w:val="003E02DB"/>
    <w:rsid w:val="003E0311"/>
    <w:rsid w:val="003E046A"/>
    <w:rsid w:val="003E058B"/>
    <w:rsid w:val="003E07AB"/>
    <w:rsid w:val="003E08F7"/>
    <w:rsid w:val="003E0933"/>
    <w:rsid w:val="003E0A19"/>
    <w:rsid w:val="003E0C7F"/>
    <w:rsid w:val="003E0CE8"/>
    <w:rsid w:val="003E0D7C"/>
    <w:rsid w:val="003E0F5E"/>
    <w:rsid w:val="003E0FAF"/>
    <w:rsid w:val="003E113B"/>
    <w:rsid w:val="003E12A4"/>
    <w:rsid w:val="003E1578"/>
    <w:rsid w:val="003E1A90"/>
    <w:rsid w:val="003E1E8F"/>
    <w:rsid w:val="003E20D6"/>
    <w:rsid w:val="003E2199"/>
    <w:rsid w:val="003E2835"/>
    <w:rsid w:val="003E2EA4"/>
    <w:rsid w:val="003E31B0"/>
    <w:rsid w:val="003E3244"/>
    <w:rsid w:val="003E338E"/>
    <w:rsid w:val="003E367E"/>
    <w:rsid w:val="003E3AC7"/>
    <w:rsid w:val="003E3C4A"/>
    <w:rsid w:val="003E3CC5"/>
    <w:rsid w:val="003E3CD1"/>
    <w:rsid w:val="003E3D11"/>
    <w:rsid w:val="003E3F81"/>
    <w:rsid w:val="003E40B9"/>
    <w:rsid w:val="003E4265"/>
    <w:rsid w:val="003E4432"/>
    <w:rsid w:val="003E4555"/>
    <w:rsid w:val="003E46F8"/>
    <w:rsid w:val="003E48FA"/>
    <w:rsid w:val="003E4970"/>
    <w:rsid w:val="003E4A44"/>
    <w:rsid w:val="003E4C25"/>
    <w:rsid w:val="003E4D87"/>
    <w:rsid w:val="003E4DEC"/>
    <w:rsid w:val="003E515B"/>
    <w:rsid w:val="003E5368"/>
    <w:rsid w:val="003E549A"/>
    <w:rsid w:val="003E55AD"/>
    <w:rsid w:val="003E55B7"/>
    <w:rsid w:val="003E5680"/>
    <w:rsid w:val="003E56BD"/>
    <w:rsid w:val="003E56C3"/>
    <w:rsid w:val="003E57AC"/>
    <w:rsid w:val="003E57E7"/>
    <w:rsid w:val="003E59BB"/>
    <w:rsid w:val="003E5CF8"/>
    <w:rsid w:val="003E5D69"/>
    <w:rsid w:val="003E5D86"/>
    <w:rsid w:val="003E5F61"/>
    <w:rsid w:val="003E62E9"/>
    <w:rsid w:val="003E65D6"/>
    <w:rsid w:val="003E65DB"/>
    <w:rsid w:val="003E6651"/>
    <w:rsid w:val="003E6A3A"/>
    <w:rsid w:val="003E6B31"/>
    <w:rsid w:val="003E6C73"/>
    <w:rsid w:val="003E6D32"/>
    <w:rsid w:val="003E700E"/>
    <w:rsid w:val="003E71CB"/>
    <w:rsid w:val="003E7274"/>
    <w:rsid w:val="003E7815"/>
    <w:rsid w:val="003E7928"/>
    <w:rsid w:val="003E7B73"/>
    <w:rsid w:val="003E7D36"/>
    <w:rsid w:val="003E7DBB"/>
    <w:rsid w:val="003E7F92"/>
    <w:rsid w:val="003F00AC"/>
    <w:rsid w:val="003F018C"/>
    <w:rsid w:val="003F01CB"/>
    <w:rsid w:val="003F0265"/>
    <w:rsid w:val="003F0331"/>
    <w:rsid w:val="003F0421"/>
    <w:rsid w:val="003F04BA"/>
    <w:rsid w:val="003F0626"/>
    <w:rsid w:val="003F062D"/>
    <w:rsid w:val="003F0919"/>
    <w:rsid w:val="003F0A44"/>
    <w:rsid w:val="003F0B8E"/>
    <w:rsid w:val="003F0FFD"/>
    <w:rsid w:val="003F117F"/>
    <w:rsid w:val="003F121A"/>
    <w:rsid w:val="003F1263"/>
    <w:rsid w:val="003F1680"/>
    <w:rsid w:val="003F1842"/>
    <w:rsid w:val="003F19CD"/>
    <w:rsid w:val="003F1E32"/>
    <w:rsid w:val="003F2354"/>
    <w:rsid w:val="003F26F8"/>
    <w:rsid w:val="003F2733"/>
    <w:rsid w:val="003F28DF"/>
    <w:rsid w:val="003F2C86"/>
    <w:rsid w:val="003F2D57"/>
    <w:rsid w:val="003F2DC3"/>
    <w:rsid w:val="003F2E26"/>
    <w:rsid w:val="003F30AD"/>
    <w:rsid w:val="003F32F6"/>
    <w:rsid w:val="003F3390"/>
    <w:rsid w:val="003F3633"/>
    <w:rsid w:val="003F3720"/>
    <w:rsid w:val="003F37E5"/>
    <w:rsid w:val="003F38AA"/>
    <w:rsid w:val="003F3A57"/>
    <w:rsid w:val="003F3B72"/>
    <w:rsid w:val="003F3C28"/>
    <w:rsid w:val="003F3C76"/>
    <w:rsid w:val="003F3DD8"/>
    <w:rsid w:val="003F3DFF"/>
    <w:rsid w:val="003F3EFF"/>
    <w:rsid w:val="003F41D4"/>
    <w:rsid w:val="003F43E5"/>
    <w:rsid w:val="003F48B8"/>
    <w:rsid w:val="003F4A52"/>
    <w:rsid w:val="003F4AD2"/>
    <w:rsid w:val="003F4BC8"/>
    <w:rsid w:val="003F4C61"/>
    <w:rsid w:val="003F4D13"/>
    <w:rsid w:val="003F4DCB"/>
    <w:rsid w:val="003F4EC7"/>
    <w:rsid w:val="003F4F53"/>
    <w:rsid w:val="003F4FCF"/>
    <w:rsid w:val="003F50BE"/>
    <w:rsid w:val="003F530A"/>
    <w:rsid w:val="003F5483"/>
    <w:rsid w:val="003F55E6"/>
    <w:rsid w:val="003F57AD"/>
    <w:rsid w:val="003F593E"/>
    <w:rsid w:val="003F59EF"/>
    <w:rsid w:val="003F66E4"/>
    <w:rsid w:val="003F6896"/>
    <w:rsid w:val="003F6A92"/>
    <w:rsid w:val="003F6C60"/>
    <w:rsid w:val="003F6E19"/>
    <w:rsid w:val="003F71A2"/>
    <w:rsid w:val="003F726B"/>
    <w:rsid w:val="003F7313"/>
    <w:rsid w:val="003F7486"/>
    <w:rsid w:val="003F76D3"/>
    <w:rsid w:val="003F76F9"/>
    <w:rsid w:val="003F77AE"/>
    <w:rsid w:val="003F783E"/>
    <w:rsid w:val="003F7880"/>
    <w:rsid w:val="003F788C"/>
    <w:rsid w:val="003F78BA"/>
    <w:rsid w:val="003F7A63"/>
    <w:rsid w:val="003F7C13"/>
    <w:rsid w:val="003F7E52"/>
    <w:rsid w:val="003F7EE1"/>
    <w:rsid w:val="0040003C"/>
    <w:rsid w:val="00400155"/>
    <w:rsid w:val="004001DE"/>
    <w:rsid w:val="00400234"/>
    <w:rsid w:val="0040055C"/>
    <w:rsid w:val="004006E2"/>
    <w:rsid w:val="00400750"/>
    <w:rsid w:val="004009F4"/>
    <w:rsid w:val="00400B0A"/>
    <w:rsid w:val="00400B1E"/>
    <w:rsid w:val="00400B52"/>
    <w:rsid w:val="00400C6C"/>
    <w:rsid w:val="00400DAA"/>
    <w:rsid w:val="00400DE6"/>
    <w:rsid w:val="00400E7D"/>
    <w:rsid w:val="00400EE8"/>
    <w:rsid w:val="00400F3F"/>
    <w:rsid w:val="00400FBD"/>
    <w:rsid w:val="0040105C"/>
    <w:rsid w:val="00401082"/>
    <w:rsid w:val="004010A5"/>
    <w:rsid w:val="004012BD"/>
    <w:rsid w:val="0040142C"/>
    <w:rsid w:val="004014B9"/>
    <w:rsid w:val="00401532"/>
    <w:rsid w:val="0040181E"/>
    <w:rsid w:val="00401870"/>
    <w:rsid w:val="004018E8"/>
    <w:rsid w:val="00401943"/>
    <w:rsid w:val="00401B25"/>
    <w:rsid w:val="00401D2C"/>
    <w:rsid w:val="004020B6"/>
    <w:rsid w:val="0040213E"/>
    <w:rsid w:val="00402440"/>
    <w:rsid w:val="004024FE"/>
    <w:rsid w:val="00402542"/>
    <w:rsid w:val="004027B3"/>
    <w:rsid w:val="0040286B"/>
    <w:rsid w:val="004028FA"/>
    <w:rsid w:val="00402910"/>
    <w:rsid w:val="00402C08"/>
    <w:rsid w:val="00402D8D"/>
    <w:rsid w:val="00402E74"/>
    <w:rsid w:val="00402F50"/>
    <w:rsid w:val="0040301F"/>
    <w:rsid w:val="004034F8"/>
    <w:rsid w:val="00403959"/>
    <w:rsid w:val="004039BE"/>
    <w:rsid w:val="004039C2"/>
    <w:rsid w:val="004039E0"/>
    <w:rsid w:val="00403A51"/>
    <w:rsid w:val="00403B7B"/>
    <w:rsid w:val="00403C27"/>
    <w:rsid w:val="00403CEC"/>
    <w:rsid w:val="00403FF3"/>
    <w:rsid w:val="00403FFF"/>
    <w:rsid w:val="00404209"/>
    <w:rsid w:val="004043B5"/>
    <w:rsid w:val="00404491"/>
    <w:rsid w:val="004044BB"/>
    <w:rsid w:val="0040469C"/>
    <w:rsid w:val="00405123"/>
    <w:rsid w:val="0040535F"/>
    <w:rsid w:val="00405986"/>
    <w:rsid w:val="00405AC9"/>
    <w:rsid w:val="00405B2B"/>
    <w:rsid w:val="00406283"/>
    <w:rsid w:val="00406430"/>
    <w:rsid w:val="00406629"/>
    <w:rsid w:val="00406731"/>
    <w:rsid w:val="00406772"/>
    <w:rsid w:val="004068EC"/>
    <w:rsid w:val="00406969"/>
    <w:rsid w:val="00406B3D"/>
    <w:rsid w:val="00406BAA"/>
    <w:rsid w:val="00406BB6"/>
    <w:rsid w:val="00406C5A"/>
    <w:rsid w:val="00406DBD"/>
    <w:rsid w:val="00406EE6"/>
    <w:rsid w:val="00406F7A"/>
    <w:rsid w:val="0040728F"/>
    <w:rsid w:val="00407497"/>
    <w:rsid w:val="0040796E"/>
    <w:rsid w:val="00407D15"/>
    <w:rsid w:val="00407D76"/>
    <w:rsid w:val="00407E8A"/>
    <w:rsid w:val="00407F12"/>
    <w:rsid w:val="00407F74"/>
    <w:rsid w:val="00407F75"/>
    <w:rsid w:val="00407F7E"/>
    <w:rsid w:val="0041009C"/>
    <w:rsid w:val="004101D5"/>
    <w:rsid w:val="004102DD"/>
    <w:rsid w:val="00410712"/>
    <w:rsid w:val="0041071D"/>
    <w:rsid w:val="00410819"/>
    <w:rsid w:val="00410CB8"/>
    <w:rsid w:val="00410E67"/>
    <w:rsid w:val="00410FA4"/>
    <w:rsid w:val="00411058"/>
    <w:rsid w:val="00411091"/>
    <w:rsid w:val="00411181"/>
    <w:rsid w:val="00411330"/>
    <w:rsid w:val="004113F6"/>
    <w:rsid w:val="004114E7"/>
    <w:rsid w:val="004118F0"/>
    <w:rsid w:val="0041193F"/>
    <w:rsid w:val="00411A7B"/>
    <w:rsid w:val="00411D3A"/>
    <w:rsid w:val="00411DA8"/>
    <w:rsid w:val="00411F44"/>
    <w:rsid w:val="00411F63"/>
    <w:rsid w:val="00411FB4"/>
    <w:rsid w:val="00412303"/>
    <w:rsid w:val="00412344"/>
    <w:rsid w:val="004123B3"/>
    <w:rsid w:val="004124FD"/>
    <w:rsid w:val="00412862"/>
    <w:rsid w:val="004128F6"/>
    <w:rsid w:val="0041294D"/>
    <w:rsid w:val="004129B7"/>
    <w:rsid w:val="00412B31"/>
    <w:rsid w:val="00412CEC"/>
    <w:rsid w:val="00412D61"/>
    <w:rsid w:val="00412DF0"/>
    <w:rsid w:val="00412FD8"/>
    <w:rsid w:val="00413087"/>
    <w:rsid w:val="0041320D"/>
    <w:rsid w:val="00413219"/>
    <w:rsid w:val="00413264"/>
    <w:rsid w:val="004135DA"/>
    <w:rsid w:val="004135F4"/>
    <w:rsid w:val="00413775"/>
    <w:rsid w:val="004138C8"/>
    <w:rsid w:val="00413BC1"/>
    <w:rsid w:val="00413BE7"/>
    <w:rsid w:val="00413DB7"/>
    <w:rsid w:val="00413EC2"/>
    <w:rsid w:val="00413EC9"/>
    <w:rsid w:val="00414183"/>
    <w:rsid w:val="00414309"/>
    <w:rsid w:val="0041437B"/>
    <w:rsid w:val="0041437D"/>
    <w:rsid w:val="00414401"/>
    <w:rsid w:val="00414507"/>
    <w:rsid w:val="00414534"/>
    <w:rsid w:val="00414719"/>
    <w:rsid w:val="00414766"/>
    <w:rsid w:val="00414A08"/>
    <w:rsid w:val="00414A46"/>
    <w:rsid w:val="00414CE8"/>
    <w:rsid w:val="00414F39"/>
    <w:rsid w:val="004150E9"/>
    <w:rsid w:val="00415811"/>
    <w:rsid w:val="004158D3"/>
    <w:rsid w:val="00415A22"/>
    <w:rsid w:val="00415C36"/>
    <w:rsid w:val="00415CB5"/>
    <w:rsid w:val="00415D93"/>
    <w:rsid w:val="004160A9"/>
    <w:rsid w:val="004160B6"/>
    <w:rsid w:val="004161B8"/>
    <w:rsid w:val="0041621B"/>
    <w:rsid w:val="00416533"/>
    <w:rsid w:val="00416704"/>
    <w:rsid w:val="00416762"/>
    <w:rsid w:val="00416835"/>
    <w:rsid w:val="00416854"/>
    <w:rsid w:val="00416861"/>
    <w:rsid w:val="004168ED"/>
    <w:rsid w:val="0041698A"/>
    <w:rsid w:val="004169DE"/>
    <w:rsid w:val="00416A88"/>
    <w:rsid w:val="00416C31"/>
    <w:rsid w:val="00416CD3"/>
    <w:rsid w:val="00416E55"/>
    <w:rsid w:val="00416E93"/>
    <w:rsid w:val="004171C6"/>
    <w:rsid w:val="0041720F"/>
    <w:rsid w:val="004173C9"/>
    <w:rsid w:val="00417438"/>
    <w:rsid w:val="00417442"/>
    <w:rsid w:val="00417AD9"/>
    <w:rsid w:val="00417D23"/>
    <w:rsid w:val="00417D7F"/>
    <w:rsid w:val="004208E4"/>
    <w:rsid w:val="00420A40"/>
    <w:rsid w:val="00420A6C"/>
    <w:rsid w:val="00420CC2"/>
    <w:rsid w:val="00420E17"/>
    <w:rsid w:val="00420E4E"/>
    <w:rsid w:val="00420FC4"/>
    <w:rsid w:val="00421032"/>
    <w:rsid w:val="00421125"/>
    <w:rsid w:val="0042136D"/>
    <w:rsid w:val="00421404"/>
    <w:rsid w:val="00421508"/>
    <w:rsid w:val="004215DB"/>
    <w:rsid w:val="004217D2"/>
    <w:rsid w:val="00421907"/>
    <w:rsid w:val="00421955"/>
    <w:rsid w:val="00421ADA"/>
    <w:rsid w:val="00421B09"/>
    <w:rsid w:val="00421C58"/>
    <w:rsid w:val="00422022"/>
    <w:rsid w:val="0042216C"/>
    <w:rsid w:val="0042233A"/>
    <w:rsid w:val="00422481"/>
    <w:rsid w:val="004229BF"/>
    <w:rsid w:val="00422B74"/>
    <w:rsid w:val="00422B7E"/>
    <w:rsid w:val="00422D78"/>
    <w:rsid w:val="00422D89"/>
    <w:rsid w:val="00422E84"/>
    <w:rsid w:val="00422ED2"/>
    <w:rsid w:val="00423000"/>
    <w:rsid w:val="00423301"/>
    <w:rsid w:val="0042333F"/>
    <w:rsid w:val="00423406"/>
    <w:rsid w:val="004236A6"/>
    <w:rsid w:val="0042378D"/>
    <w:rsid w:val="00423C55"/>
    <w:rsid w:val="00423DDE"/>
    <w:rsid w:val="00423F03"/>
    <w:rsid w:val="00423F4E"/>
    <w:rsid w:val="004242A9"/>
    <w:rsid w:val="004243FD"/>
    <w:rsid w:val="004244A0"/>
    <w:rsid w:val="00424645"/>
    <w:rsid w:val="00424789"/>
    <w:rsid w:val="00424843"/>
    <w:rsid w:val="00424881"/>
    <w:rsid w:val="004249C6"/>
    <w:rsid w:val="00424BBE"/>
    <w:rsid w:val="00424BC6"/>
    <w:rsid w:val="00425075"/>
    <w:rsid w:val="0042518A"/>
    <w:rsid w:val="00425291"/>
    <w:rsid w:val="004252B8"/>
    <w:rsid w:val="004253EE"/>
    <w:rsid w:val="00425730"/>
    <w:rsid w:val="004258BB"/>
    <w:rsid w:val="00425C16"/>
    <w:rsid w:val="00425E05"/>
    <w:rsid w:val="00425E95"/>
    <w:rsid w:val="00425EE2"/>
    <w:rsid w:val="00426020"/>
    <w:rsid w:val="0042614A"/>
    <w:rsid w:val="0042619C"/>
    <w:rsid w:val="00426289"/>
    <w:rsid w:val="0042642F"/>
    <w:rsid w:val="004264BB"/>
    <w:rsid w:val="0042663A"/>
    <w:rsid w:val="0042667D"/>
    <w:rsid w:val="004267EC"/>
    <w:rsid w:val="00426969"/>
    <w:rsid w:val="0042699A"/>
    <w:rsid w:val="004269F2"/>
    <w:rsid w:val="00426B06"/>
    <w:rsid w:val="00426B14"/>
    <w:rsid w:val="00426C72"/>
    <w:rsid w:val="00426D76"/>
    <w:rsid w:val="00426F07"/>
    <w:rsid w:val="004274BF"/>
    <w:rsid w:val="004276A0"/>
    <w:rsid w:val="004276BA"/>
    <w:rsid w:val="00427721"/>
    <w:rsid w:val="004278B8"/>
    <w:rsid w:val="00427963"/>
    <w:rsid w:val="00427E8D"/>
    <w:rsid w:val="00427F49"/>
    <w:rsid w:val="004300E9"/>
    <w:rsid w:val="0043030D"/>
    <w:rsid w:val="004306A9"/>
    <w:rsid w:val="004307A0"/>
    <w:rsid w:val="00430A23"/>
    <w:rsid w:val="00430AC7"/>
    <w:rsid w:val="00430D58"/>
    <w:rsid w:val="00430EA4"/>
    <w:rsid w:val="00431010"/>
    <w:rsid w:val="00431231"/>
    <w:rsid w:val="004312AA"/>
    <w:rsid w:val="0043137D"/>
    <w:rsid w:val="00431574"/>
    <w:rsid w:val="0043165B"/>
    <w:rsid w:val="00431BDE"/>
    <w:rsid w:val="00431D33"/>
    <w:rsid w:val="00431DEE"/>
    <w:rsid w:val="00431EE7"/>
    <w:rsid w:val="0043204B"/>
    <w:rsid w:val="00432594"/>
    <w:rsid w:val="00432700"/>
    <w:rsid w:val="00432883"/>
    <w:rsid w:val="00432B44"/>
    <w:rsid w:val="00432D81"/>
    <w:rsid w:val="00432EB7"/>
    <w:rsid w:val="004330E3"/>
    <w:rsid w:val="004332F2"/>
    <w:rsid w:val="00433300"/>
    <w:rsid w:val="004336C4"/>
    <w:rsid w:val="00433895"/>
    <w:rsid w:val="00433BFF"/>
    <w:rsid w:val="00433EB0"/>
    <w:rsid w:val="004342BB"/>
    <w:rsid w:val="004343FA"/>
    <w:rsid w:val="00434563"/>
    <w:rsid w:val="0043458A"/>
    <w:rsid w:val="004346B1"/>
    <w:rsid w:val="0043485A"/>
    <w:rsid w:val="004348B9"/>
    <w:rsid w:val="004348C9"/>
    <w:rsid w:val="004348DF"/>
    <w:rsid w:val="00434DBC"/>
    <w:rsid w:val="00434E36"/>
    <w:rsid w:val="00434FF2"/>
    <w:rsid w:val="00435131"/>
    <w:rsid w:val="00435184"/>
    <w:rsid w:val="00435296"/>
    <w:rsid w:val="0043534B"/>
    <w:rsid w:val="00435430"/>
    <w:rsid w:val="004355EA"/>
    <w:rsid w:val="00435651"/>
    <w:rsid w:val="00435689"/>
    <w:rsid w:val="004356BC"/>
    <w:rsid w:val="00435768"/>
    <w:rsid w:val="004359E9"/>
    <w:rsid w:val="00435FDE"/>
    <w:rsid w:val="00436202"/>
    <w:rsid w:val="00436761"/>
    <w:rsid w:val="004368BB"/>
    <w:rsid w:val="00436DB6"/>
    <w:rsid w:val="00436E04"/>
    <w:rsid w:val="004371BD"/>
    <w:rsid w:val="00437536"/>
    <w:rsid w:val="00437641"/>
    <w:rsid w:val="004376E5"/>
    <w:rsid w:val="004377B7"/>
    <w:rsid w:val="004377DC"/>
    <w:rsid w:val="00437B9A"/>
    <w:rsid w:val="00437D7D"/>
    <w:rsid w:val="00437FB4"/>
    <w:rsid w:val="00440233"/>
    <w:rsid w:val="004403B1"/>
    <w:rsid w:val="00441115"/>
    <w:rsid w:val="004411D2"/>
    <w:rsid w:val="004413E9"/>
    <w:rsid w:val="004416C2"/>
    <w:rsid w:val="004416F4"/>
    <w:rsid w:val="00441910"/>
    <w:rsid w:val="00441E86"/>
    <w:rsid w:val="00441F6F"/>
    <w:rsid w:val="004423DA"/>
    <w:rsid w:val="00442400"/>
    <w:rsid w:val="00442462"/>
    <w:rsid w:val="00442585"/>
    <w:rsid w:val="004425EA"/>
    <w:rsid w:val="004425ED"/>
    <w:rsid w:val="004427E7"/>
    <w:rsid w:val="004428E9"/>
    <w:rsid w:val="00442BD9"/>
    <w:rsid w:val="00442D33"/>
    <w:rsid w:val="00442E37"/>
    <w:rsid w:val="00442FE8"/>
    <w:rsid w:val="004430B5"/>
    <w:rsid w:val="004432D5"/>
    <w:rsid w:val="0044348E"/>
    <w:rsid w:val="004434EB"/>
    <w:rsid w:val="00443645"/>
    <w:rsid w:val="0044367D"/>
    <w:rsid w:val="00443A47"/>
    <w:rsid w:val="00443BAF"/>
    <w:rsid w:val="00443D54"/>
    <w:rsid w:val="00443D5E"/>
    <w:rsid w:val="00443E63"/>
    <w:rsid w:val="00443EEC"/>
    <w:rsid w:val="00444028"/>
    <w:rsid w:val="0044403F"/>
    <w:rsid w:val="00444681"/>
    <w:rsid w:val="004448F5"/>
    <w:rsid w:val="004448FD"/>
    <w:rsid w:val="00444A63"/>
    <w:rsid w:val="00445265"/>
    <w:rsid w:val="00445307"/>
    <w:rsid w:val="00445441"/>
    <w:rsid w:val="00445804"/>
    <w:rsid w:val="004459E3"/>
    <w:rsid w:val="00445BA0"/>
    <w:rsid w:val="00445CF0"/>
    <w:rsid w:val="00445D4D"/>
    <w:rsid w:val="00445D6A"/>
    <w:rsid w:val="004463B0"/>
    <w:rsid w:val="004463B6"/>
    <w:rsid w:val="0044644B"/>
    <w:rsid w:val="00446485"/>
    <w:rsid w:val="004467FB"/>
    <w:rsid w:val="004468D1"/>
    <w:rsid w:val="00446CC5"/>
    <w:rsid w:val="00446EF4"/>
    <w:rsid w:val="00446FD2"/>
    <w:rsid w:val="00446FFF"/>
    <w:rsid w:val="00447092"/>
    <w:rsid w:val="004471B9"/>
    <w:rsid w:val="00447339"/>
    <w:rsid w:val="0044751D"/>
    <w:rsid w:val="00447551"/>
    <w:rsid w:val="00447995"/>
    <w:rsid w:val="00447BA4"/>
    <w:rsid w:val="00447C10"/>
    <w:rsid w:val="00447C47"/>
    <w:rsid w:val="00447CD9"/>
    <w:rsid w:val="00447D02"/>
    <w:rsid w:val="00447E7F"/>
    <w:rsid w:val="00447F66"/>
    <w:rsid w:val="0045038F"/>
    <w:rsid w:val="004503B2"/>
    <w:rsid w:val="00450460"/>
    <w:rsid w:val="0045047B"/>
    <w:rsid w:val="00450BCB"/>
    <w:rsid w:val="00450D14"/>
    <w:rsid w:val="0045107E"/>
    <w:rsid w:val="004511F8"/>
    <w:rsid w:val="00451431"/>
    <w:rsid w:val="00451725"/>
    <w:rsid w:val="00451746"/>
    <w:rsid w:val="00451914"/>
    <w:rsid w:val="00451B8F"/>
    <w:rsid w:val="00451D86"/>
    <w:rsid w:val="004522A2"/>
    <w:rsid w:val="004522A4"/>
    <w:rsid w:val="004524C5"/>
    <w:rsid w:val="00452529"/>
    <w:rsid w:val="004525A6"/>
    <w:rsid w:val="004526FE"/>
    <w:rsid w:val="004527CE"/>
    <w:rsid w:val="00452908"/>
    <w:rsid w:val="00452CCC"/>
    <w:rsid w:val="00452D53"/>
    <w:rsid w:val="00452EE7"/>
    <w:rsid w:val="00452EF1"/>
    <w:rsid w:val="00452FBB"/>
    <w:rsid w:val="0045305D"/>
    <w:rsid w:val="004531FA"/>
    <w:rsid w:val="004532C7"/>
    <w:rsid w:val="004535EF"/>
    <w:rsid w:val="004536BC"/>
    <w:rsid w:val="0045398E"/>
    <w:rsid w:val="00453A6E"/>
    <w:rsid w:val="00453AFF"/>
    <w:rsid w:val="00453BD0"/>
    <w:rsid w:val="00453CC2"/>
    <w:rsid w:val="00453DFB"/>
    <w:rsid w:val="00453EFA"/>
    <w:rsid w:val="00453FE6"/>
    <w:rsid w:val="00454155"/>
    <w:rsid w:val="004542B4"/>
    <w:rsid w:val="004543CE"/>
    <w:rsid w:val="0045440B"/>
    <w:rsid w:val="0045450B"/>
    <w:rsid w:val="004548A4"/>
    <w:rsid w:val="00454A2B"/>
    <w:rsid w:val="00454C70"/>
    <w:rsid w:val="00454D30"/>
    <w:rsid w:val="00454F04"/>
    <w:rsid w:val="0045507A"/>
    <w:rsid w:val="0045551B"/>
    <w:rsid w:val="0045553C"/>
    <w:rsid w:val="004555AB"/>
    <w:rsid w:val="004555F1"/>
    <w:rsid w:val="00455955"/>
    <w:rsid w:val="004559CE"/>
    <w:rsid w:val="004559E2"/>
    <w:rsid w:val="00455A04"/>
    <w:rsid w:val="00455D4E"/>
    <w:rsid w:val="00455D7C"/>
    <w:rsid w:val="0045604B"/>
    <w:rsid w:val="004561E3"/>
    <w:rsid w:val="0045625B"/>
    <w:rsid w:val="004563E0"/>
    <w:rsid w:val="00456439"/>
    <w:rsid w:val="00456612"/>
    <w:rsid w:val="00456662"/>
    <w:rsid w:val="004568F5"/>
    <w:rsid w:val="00456943"/>
    <w:rsid w:val="004569CD"/>
    <w:rsid w:val="00456AD1"/>
    <w:rsid w:val="00456C31"/>
    <w:rsid w:val="00456E19"/>
    <w:rsid w:val="00456F21"/>
    <w:rsid w:val="00456F4E"/>
    <w:rsid w:val="0045707B"/>
    <w:rsid w:val="00457493"/>
    <w:rsid w:val="004575AD"/>
    <w:rsid w:val="00457641"/>
    <w:rsid w:val="004576E2"/>
    <w:rsid w:val="00457BD3"/>
    <w:rsid w:val="00457D65"/>
    <w:rsid w:val="00457E1A"/>
    <w:rsid w:val="004601CB"/>
    <w:rsid w:val="0046020A"/>
    <w:rsid w:val="004602F4"/>
    <w:rsid w:val="004604A9"/>
    <w:rsid w:val="00460797"/>
    <w:rsid w:val="00460828"/>
    <w:rsid w:val="00460859"/>
    <w:rsid w:val="00460B4B"/>
    <w:rsid w:val="00460BAE"/>
    <w:rsid w:val="00460C61"/>
    <w:rsid w:val="00460CBE"/>
    <w:rsid w:val="00460D5B"/>
    <w:rsid w:val="00460E1A"/>
    <w:rsid w:val="00460E7F"/>
    <w:rsid w:val="00460E96"/>
    <w:rsid w:val="00461300"/>
    <w:rsid w:val="00461589"/>
    <w:rsid w:val="0046164E"/>
    <w:rsid w:val="004619DA"/>
    <w:rsid w:val="00461AED"/>
    <w:rsid w:val="00461B0E"/>
    <w:rsid w:val="00461B4F"/>
    <w:rsid w:val="00461C71"/>
    <w:rsid w:val="00461DF2"/>
    <w:rsid w:val="00461E59"/>
    <w:rsid w:val="00462192"/>
    <w:rsid w:val="00462268"/>
    <w:rsid w:val="004623A5"/>
    <w:rsid w:val="004623E5"/>
    <w:rsid w:val="00462431"/>
    <w:rsid w:val="004626B5"/>
    <w:rsid w:val="004627A8"/>
    <w:rsid w:val="004627B5"/>
    <w:rsid w:val="0046284A"/>
    <w:rsid w:val="00462B07"/>
    <w:rsid w:val="00462B59"/>
    <w:rsid w:val="00462B83"/>
    <w:rsid w:val="00462BC1"/>
    <w:rsid w:val="00462C2E"/>
    <w:rsid w:val="00462C3A"/>
    <w:rsid w:val="00462E47"/>
    <w:rsid w:val="00462E80"/>
    <w:rsid w:val="00462EC1"/>
    <w:rsid w:val="00463130"/>
    <w:rsid w:val="004631CC"/>
    <w:rsid w:val="004632FA"/>
    <w:rsid w:val="00463620"/>
    <w:rsid w:val="00463705"/>
    <w:rsid w:val="004637D2"/>
    <w:rsid w:val="00463824"/>
    <w:rsid w:val="00463ABF"/>
    <w:rsid w:val="00463B6C"/>
    <w:rsid w:val="00463DF8"/>
    <w:rsid w:val="00464003"/>
    <w:rsid w:val="0046401E"/>
    <w:rsid w:val="0046411C"/>
    <w:rsid w:val="00464213"/>
    <w:rsid w:val="0046428B"/>
    <w:rsid w:val="0046437C"/>
    <w:rsid w:val="00464383"/>
    <w:rsid w:val="00464384"/>
    <w:rsid w:val="00464454"/>
    <w:rsid w:val="004647AB"/>
    <w:rsid w:val="00464843"/>
    <w:rsid w:val="00464A0C"/>
    <w:rsid w:val="00464B4C"/>
    <w:rsid w:val="00464F55"/>
    <w:rsid w:val="004652E3"/>
    <w:rsid w:val="0046540D"/>
    <w:rsid w:val="00465485"/>
    <w:rsid w:val="00465584"/>
    <w:rsid w:val="00465637"/>
    <w:rsid w:val="00465B9C"/>
    <w:rsid w:val="00465BEE"/>
    <w:rsid w:val="00465D85"/>
    <w:rsid w:val="00465ECC"/>
    <w:rsid w:val="0046632F"/>
    <w:rsid w:val="00466330"/>
    <w:rsid w:val="00466405"/>
    <w:rsid w:val="0046655B"/>
    <w:rsid w:val="004665C0"/>
    <w:rsid w:val="00466631"/>
    <w:rsid w:val="004666E7"/>
    <w:rsid w:val="0046674A"/>
    <w:rsid w:val="00466784"/>
    <w:rsid w:val="004667C8"/>
    <w:rsid w:val="004669A8"/>
    <w:rsid w:val="00466C39"/>
    <w:rsid w:val="00466D30"/>
    <w:rsid w:val="00467192"/>
    <w:rsid w:val="004671E4"/>
    <w:rsid w:val="004672C4"/>
    <w:rsid w:val="004673D3"/>
    <w:rsid w:val="00467452"/>
    <w:rsid w:val="0046764C"/>
    <w:rsid w:val="00467653"/>
    <w:rsid w:val="00467800"/>
    <w:rsid w:val="00467AC6"/>
    <w:rsid w:val="00467D1B"/>
    <w:rsid w:val="00467DE3"/>
    <w:rsid w:val="00470210"/>
    <w:rsid w:val="004702E6"/>
    <w:rsid w:val="00470412"/>
    <w:rsid w:val="00470448"/>
    <w:rsid w:val="004705ED"/>
    <w:rsid w:val="00470730"/>
    <w:rsid w:val="00470C53"/>
    <w:rsid w:val="00470C7F"/>
    <w:rsid w:val="00470D9B"/>
    <w:rsid w:val="00470EC9"/>
    <w:rsid w:val="00470EE6"/>
    <w:rsid w:val="00470FBD"/>
    <w:rsid w:val="00470FCD"/>
    <w:rsid w:val="0047104F"/>
    <w:rsid w:val="004711B1"/>
    <w:rsid w:val="004711DA"/>
    <w:rsid w:val="00471225"/>
    <w:rsid w:val="00471313"/>
    <w:rsid w:val="0047142C"/>
    <w:rsid w:val="00471749"/>
    <w:rsid w:val="004717E0"/>
    <w:rsid w:val="00471A1D"/>
    <w:rsid w:val="00471AE3"/>
    <w:rsid w:val="00471B0F"/>
    <w:rsid w:val="00471F61"/>
    <w:rsid w:val="00472160"/>
    <w:rsid w:val="004722C4"/>
    <w:rsid w:val="004722D5"/>
    <w:rsid w:val="004723AB"/>
    <w:rsid w:val="00472765"/>
    <w:rsid w:val="00472CCF"/>
    <w:rsid w:val="00472E8F"/>
    <w:rsid w:val="00472FF7"/>
    <w:rsid w:val="004730B3"/>
    <w:rsid w:val="00473248"/>
    <w:rsid w:val="0047354F"/>
    <w:rsid w:val="004735C5"/>
    <w:rsid w:val="004738C3"/>
    <w:rsid w:val="00473979"/>
    <w:rsid w:val="00473B5D"/>
    <w:rsid w:val="00473C41"/>
    <w:rsid w:val="00473D49"/>
    <w:rsid w:val="00473F63"/>
    <w:rsid w:val="004743F1"/>
    <w:rsid w:val="00474459"/>
    <w:rsid w:val="004747C8"/>
    <w:rsid w:val="00474802"/>
    <w:rsid w:val="0047488C"/>
    <w:rsid w:val="00474943"/>
    <w:rsid w:val="0047499B"/>
    <w:rsid w:val="00474B4F"/>
    <w:rsid w:val="00474B55"/>
    <w:rsid w:val="00474CE5"/>
    <w:rsid w:val="00474F7C"/>
    <w:rsid w:val="00474FA9"/>
    <w:rsid w:val="00475085"/>
    <w:rsid w:val="004752D2"/>
    <w:rsid w:val="004752D3"/>
    <w:rsid w:val="00475360"/>
    <w:rsid w:val="004757DC"/>
    <w:rsid w:val="00475BA4"/>
    <w:rsid w:val="00475CC1"/>
    <w:rsid w:val="00475D1A"/>
    <w:rsid w:val="00475ECA"/>
    <w:rsid w:val="00476073"/>
    <w:rsid w:val="00476700"/>
    <w:rsid w:val="004767DB"/>
    <w:rsid w:val="00476817"/>
    <w:rsid w:val="00476A1F"/>
    <w:rsid w:val="00476B6A"/>
    <w:rsid w:val="00476CF6"/>
    <w:rsid w:val="00476F88"/>
    <w:rsid w:val="00477235"/>
    <w:rsid w:val="004772C3"/>
    <w:rsid w:val="00477358"/>
    <w:rsid w:val="0047749D"/>
    <w:rsid w:val="00477570"/>
    <w:rsid w:val="00477AA8"/>
    <w:rsid w:val="00477B29"/>
    <w:rsid w:val="00477B63"/>
    <w:rsid w:val="00477C2F"/>
    <w:rsid w:val="00477C55"/>
    <w:rsid w:val="00477C6B"/>
    <w:rsid w:val="00477C93"/>
    <w:rsid w:val="00477D47"/>
    <w:rsid w:val="00477DEE"/>
    <w:rsid w:val="00477E10"/>
    <w:rsid w:val="00477F79"/>
    <w:rsid w:val="00477F8A"/>
    <w:rsid w:val="00480316"/>
    <w:rsid w:val="004805A1"/>
    <w:rsid w:val="00480699"/>
    <w:rsid w:val="00480712"/>
    <w:rsid w:val="0048088B"/>
    <w:rsid w:val="00480C05"/>
    <w:rsid w:val="00480D0C"/>
    <w:rsid w:val="00480E24"/>
    <w:rsid w:val="00481140"/>
    <w:rsid w:val="00481324"/>
    <w:rsid w:val="00481370"/>
    <w:rsid w:val="00481960"/>
    <w:rsid w:val="004819A7"/>
    <w:rsid w:val="00481A8A"/>
    <w:rsid w:val="00481A92"/>
    <w:rsid w:val="00481AE3"/>
    <w:rsid w:val="00481B87"/>
    <w:rsid w:val="00481B92"/>
    <w:rsid w:val="00482088"/>
    <w:rsid w:val="004820CA"/>
    <w:rsid w:val="0048211E"/>
    <w:rsid w:val="004821EA"/>
    <w:rsid w:val="00482204"/>
    <w:rsid w:val="00482430"/>
    <w:rsid w:val="004824B3"/>
    <w:rsid w:val="00482522"/>
    <w:rsid w:val="0048253D"/>
    <w:rsid w:val="00482565"/>
    <w:rsid w:val="0048259E"/>
    <w:rsid w:val="004829C5"/>
    <w:rsid w:val="004829EC"/>
    <w:rsid w:val="004829F8"/>
    <w:rsid w:val="00482A3D"/>
    <w:rsid w:val="00482B75"/>
    <w:rsid w:val="00482C98"/>
    <w:rsid w:val="00482D8B"/>
    <w:rsid w:val="00482F1F"/>
    <w:rsid w:val="00483421"/>
    <w:rsid w:val="004834AC"/>
    <w:rsid w:val="004836FF"/>
    <w:rsid w:val="00483857"/>
    <w:rsid w:val="0048396B"/>
    <w:rsid w:val="00483A8C"/>
    <w:rsid w:val="00483AE9"/>
    <w:rsid w:val="00483B36"/>
    <w:rsid w:val="00483CE2"/>
    <w:rsid w:val="00483D8C"/>
    <w:rsid w:val="0048427C"/>
    <w:rsid w:val="00484508"/>
    <w:rsid w:val="004845D2"/>
    <w:rsid w:val="00484676"/>
    <w:rsid w:val="004846C9"/>
    <w:rsid w:val="004847C5"/>
    <w:rsid w:val="0048487E"/>
    <w:rsid w:val="004849F7"/>
    <w:rsid w:val="00484AD0"/>
    <w:rsid w:val="00484B66"/>
    <w:rsid w:val="00484CFC"/>
    <w:rsid w:val="00484D0D"/>
    <w:rsid w:val="00485226"/>
    <w:rsid w:val="0048531E"/>
    <w:rsid w:val="004853D4"/>
    <w:rsid w:val="004856EE"/>
    <w:rsid w:val="0048590B"/>
    <w:rsid w:val="00485B96"/>
    <w:rsid w:val="00485D4F"/>
    <w:rsid w:val="00485F54"/>
    <w:rsid w:val="00486127"/>
    <w:rsid w:val="00486317"/>
    <w:rsid w:val="0048638A"/>
    <w:rsid w:val="004863C8"/>
    <w:rsid w:val="0048642B"/>
    <w:rsid w:val="0048666A"/>
    <w:rsid w:val="00486938"/>
    <w:rsid w:val="00486A4D"/>
    <w:rsid w:val="00486A5E"/>
    <w:rsid w:val="00486AB3"/>
    <w:rsid w:val="00486AFA"/>
    <w:rsid w:val="00486BF5"/>
    <w:rsid w:val="00486BFD"/>
    <w:rsid w:val="00486C60"/>
    <w:rsid w:val="00486D08"/>
    <w:rsid w:val="00486E9D"/>
    <w:rsid w:val="004870C6"/>
    <w:rsid w:val="0048720A"/>
    <w:rsid w:val="00487586"/>
    <w:rsid w:val="00487818"/>
    <w:rsid w:val="00487FF7"/>
    <w:rsid w:val="004901AF"/>
    <w:rsid w:val="0049026C"/>
    <w:rsid w:val="00490574"/>
    <w:rsid w:val="0049076B"/>
    <w:rsid w:val="00490A64"/>
    <w:rsid w:val="00490E07"/>
    <w:rsid w:val="00490F4E"/>
    <w:rsid w:val="00490FF2"/>
    <w:rsid w:val="00491004"/>
    <w:rsid w:val="0049120A"/>
    <w:rsid w:val="0049126D"/>
    <w:rsid w:val="0049126E"/>
    <w:rsid w:val="0049133D"/>
    <w:rsid w:val="00491490"/>
    <w:rsid w:val="004915C7"/>
    <w:rsid w:val="0049162E"/>
    <w:rsid w:val="004917E0"/>
    <w:rsid w:val="00491836"/>
    <w:rsid w:val="004919CD"/>
    <w:rsid w:val="00491BA0"/>
    <w:rsid w:val="00491BC6"/>
    <w:rsid w:val="00491D71"/>
    <w:rsid w:val="00491E0A"/>
    <w:rsid w:val="00492028"/>
    <w:rsid w:val="00492903"/>
    <w:rsid w:val="00492FCB"/>
    <w:rsid w:val="0049312A"/>
    <w:rsid w:val="00493145"/>
    <w:rsid w:val="00493187"/>
    <w:rsid w:val="004931E4"/>
    <w:rsid w:val="0049320F"/>
    <w:rsid w:val="00493273"/>
    <w:rsid w:val="00493335"/>
    <w:rsid w:val="0049333E"/>
    <w:rsid w:val="0049356B"/>
    <w:rsid w:val="004935DE"/>
    <w:rsid w:val="00493961"/>
    <w:rsid w:val="004939DE"/>
    <w:rsid w:val="00493ADE"/>
    <w:rsid w:val="00493D27"/>
    <w:rsid w:val="00493D8B"/>
    <w:rsid w:val="00493FB8"/>
    <w:rsid w:val="00494074"/>
    <w:rsid w:val="0049425F"/>
    <w:rsid w:val="004942AC"/>
    <w:rsid w:val="00494302"/>
    <w:rsid w:val="00494483"/>
    <w:rsid w:val="004944A0"/>
    <w:rsid w:val="004945DD"/>
    <w:rsid w:val="0049492D"/>
    <w:rsid w:val="00494BA1"/>
    <w:rsid w:val="0049518F"/>
    <w:rsid w:val="004953B5"/>
    <w:rsid w:val="0049549B"/>
    <w:rsid w:val="00495683"/>
    <w:rsid w:val="0049572D"/>
    <w:rsid w:val="004957BD"/>
    <w:rsid w:val="00495826"/>
    <w:rsid w:val="004960E4"/>
    <w:rsid w:val="00496123"/>
    <w:rsid w:val="00496174"/>
    <w:rsid w:val="00496692"/>
    <w:rsid w:val="004967C5"/>
    <w:rsid w:val="004967EE"/>
    <w:rsid w:val="00496CA6"/>
    <w:rsid w:val="00496D55"/>
    <w:rsid w:val="00496E05"/>
    <w:rsid w:val="00496EE5"/>
    <w:rsid w:val="004970B0"/>
    <w:rsid w:val="004970F0"/>
    <w:rsid w:val="004971E9"/>
    <w:rsid w:val="0049724B"/>
    <w:rsid w:val="004973FD"/>
    <w:rsid w:val="00497451"/>
    <w:rsid w:val="00497603"/>
    <w:rsid w:val="0049798D"/>
    <w:rsid w:val="00497AE0"/>
    <w:rsid w:val="004A0427"/>
    <w:rsid w:val="004A0582"/>
    <w:rsid w:val="004A05EC"/>
    <w:rsid w:val="004A06BB"/>
    <w:rsid w:val="004A0D48"/>
    <w:rsid w:val="004A0E8B"/>
    <w:rsid w:val="004A0F11"/>
    <w:rsid w:val="004A0F82"/>
    <w:rsid w:val="004A10EE"/>
    <w:rsid w:val="004A11BA"/>
    <w:rsid w:val="004A11E2"/>
    <w:rsid w:val="004A128A"/>
    <w:rsid w:val="004A166F"/>
    <w:rsid w:val="004A176E"/>
    <w:rsid w:val="004A1853"/>
    <w:rsid w:val="004A1A48"/>
    <w:rsid w:val="004A1B64"/>
    <w:rsid w:val="004A1D8E"/>
    <w:rsid w:val="004A1E2B"/>
    <w:rsid w:val="004A202D"/>
    <w:rsid w:val="004A213F"/>
    <w:rsid w:val="004A220F"/>
    <w:rsid w:val="004A2440"/>
    <w:rsid w:val="004A2471"/>
    <w:rsid w:val="004A2C6E"/>
    <w:rsid w:val="004A2FA4"/>
    <w:rsid w:val="004A3031"/>
    <w:rsid w:val="004A308A"/>
    <w:rsid w:val="004A3117"/>
    <w:rsid w:val="004A315E"/>
    <w:rsid w:val="004A31F6"/>
    <w:rsid w:val="004A3439"/>
    <w:rsid w:val="004A3635"/>
    <w:rsid w:val="004A3C6B"/>
    <w:rsid w:val="004A3EAA"/>
    <w:rsid w:val="004A3FB9"/>
    <w:rsid w:val="004A4551"/>
    <w:rsid w:val="004A4800"/>
    <w:rsid w:val="004A48FC"/>
    <w:rsid w:val="004A49CE"/>
    <w:rsid w:val="004A4B06"/>
    <w:rsid w:val="004A4C62"/>
    <w:rsid w:val="004A4E86"/>
    <w:rsid w:val="004A514B"/>
    <w:rsid w:val="004A5202"/>
    <w:rsid w:val="004A5252"/>
    <w:rsid w:val="004A52FC"/>
    <w:rsid w:val="004A544E"/>
    <w:rsid w:val="004A556E"/>
    <w:rsid w:val="004A568F"/>
    <w:rsid w:val="004A5825"/>
    <w:rsid w:val="004A5855"/>
    <w:rsid w:val="004A596A"/>
    <w:rsid w:val="004A597E"/>
    <w:rsid w:val="004A5CD9"/>
    <w:rsid w:val="004A5E08"/>
    <w:rsid w:val="004A5E33"/>
    <w:rsid w:val="004A616B"/>
    <w:rsid w:val="004A6372"/>
    <w:rsid w:val="004A659D"/>
    <w:rsid w:val="004A65C6"/>
    <w:rsid w:val="004A6755"/>
    <w:rsid w:val="004A6886"/>
    <w:rsid w:val="004A68A0"/>
    <w:rsid w:val="004A6BA4"/>
    <w:rsid w:val="004A6C51"/>
    <w:rsid w:val="004A6C77"/>
    <w:rsid w:val="004A6DCC"/>
    <w:rsid w:val="004A6F2D"/>
    <w:rsid w:val="004A6F67"/>
    <w:rsid w:val="004A7277"/>
    <w:rsid w:val="004A72C7"/>
    <w:rsid w:val="004A7475"/>
    <w:rsid w:val="004A74E5"/>
    <w:rsid w:val="004A7610"/>
    <w:rsid w:val="004A770D"/>
    <w:rsid w:val="004A79B1"/>
    <w:rsid w:val="004A7A0C"/>
    <w:rsid w:val="004A7ABA"/>
    <w:rsid w:val="004A7AE3"/>
    <w:rsid w:val="004A7BAF"/>
    <w:rsid w:val="004A7D97"/>
    <w:rsid w:val="004A7ED8"/>
    <w:rsid w:val="004A7FB7"/>
    <w:rsid w:val="004A7FE4"/>
    <w:rsid w:val="004B007B"/>
    <w:rsid w:val="004B017A"/>
    <w:rsid w:val="004B0215"/>
    <w:rsid w:val="004B0348"/>
    <w:rsid w:val="004B0570"/>
    <w:rsid w:val="004B05D6"/>
    <w:rsid w:val="004B09C1"/>
    <w:rsid w:val="004B09FF"/>
    <w:rsid w:val="004B0A85"/>
    <w:rsid w:val="004B119D"/>
    <w:rsid w:val="004B1477"/>
    <w:rsid w:val="004B18B9"/>
    <w:rsid w:val="004B18CD"/>
    <w:rsid w:val="004B1986"/>
    <w:rsid w:val="004B1B07"/>
    <w:rsid w:val="004B1B4B"/>
    <w:rsid w:val="004B1BBB"/>
    <w:rsid w:val="004B1CAB"/>
    <w:rsid w:val="004B1DD5"/>
    <w:rsid w:val="004B1E42"/>
    <w:rsid w:val="004B22DF"/>
    <w:rsid w:val="004B249B"/>
    <w:rsid w:val="004B26DE"/>
    <w:rsid w:val="004B27FD"/>
    <w:rsid w:val="004B28BA"/>
    <w:rsid w:val="004B2A08"/>
    <w:rsid w:val="004B2DA7"/>
    <w:rsid w:val="004B2E27"/>
    <w:rsid w:val="004B2E42"/>
    <w:rsid w:val="004B3190"/>
    <w:rsid w:val="004B3681"/>
    <w:rsid w:val="004B3726"/>
    <w:rsid w:val="004B379B"/>
    <w:rsid w:val="004B3B7D"/>
    <w:rsid w:val="004B3C19"/>
    <w:rsid w:val="004B3D33"/>
    <w:rsid w:val="004B3FA3"/>
    <w:rsid w:val="004B40B5"/>
    <w:rsid w:val="004B4234"/>
    <w:rsid w:val="004B436A"/>
    <w:rsid w:val="004B4401"/>
    <w:rsid w:val="004B441F"/>
    <w:rsid w:val="004B4487"/>
    <w:rsid w:val="004B44FD"/>
    <w:rsid w:val="004B4754"/>
    <w:rsid w:val="004B47D3"/>
    <w:rsid w:val="004B49F0"/>
    <w:rsid w:val="004B4C0E"/>
    <w:rsid w:val="004B4E00"/>
    <w:rsid w:val="004B4EE1"/>
    <w:rsid w:val="004B5133"/>
    <w:rsid w:val="004B5203"/>
    <w:rsid w:val="004B520A"/>
    <w:rsid w:val="004B52DE"/>
    <w:rsid w:val="004B52FD"/>
    <w:rsid w:val="004B5468"/>
    <w:rsid w:val="004B54E0"/>
    <w:rsid w:val="004B5627"/>
    <w:rsid w:val="004B56BF"/>
    <w:rsid w:val="004B582F"/>
    <w:rsid w:val="004B5AA2"/>
    <w:rsid w:val="004B5BDC"/>
    <w:rsid w:val="004B5D22"/>
    <w:rsid w:val="004B60B4"/>
    <w:rsid w:val="004B64DE"/>
    <w:rsid w:val="004B6628"/>
    <w:rsid w:val="004B67A8"/>
    <w:rsid w:val="004B69A8"/>
    <w:rsid w:val="004B6A74"/>
    <w:rsid w:val="004B6BF1"/>
    <w:rsid w:val="004B6C3B"/>
    <w:rsid w:val="004B6D54"/>
    <w:rsid w:val="004B6D76"/>
    <w:rsid w:val="004B6F4C"/>
    <w:rsid w:val="004B6FF1"/>
    <w:rsid w:val="004B7075"/>
    <w:rsid w:val="004B72B1"/>
    <w:rsid w:val="004B749F"/>
    <w:rsid w:val="004B7832"/>
    <w:rsid w:val="004B78EE"/>
    <w:rsid w:val="004B798A"/>
    <w:rsid w:val="004B79EE"/>
    <w:rsid w:val="004B7AB0"/>
    <w:rsid w:val="004B7D9D"/>
    <w:rsid w:val="004B7EE9"/>
    <w:rsid w:val="004B7FBF"/>
    <w:rsid w:val="004C0526"/>
    <w:rsid w:val="004C0697"/>
    <w:rsid w:val="004C06F3"/>
    <w:rsid w:val="004C0929"/>
    <w:rsid w:val="004C0B77"/>
    <w:rsid w:val="004C0BAC"/>
    <w:rsid w:val="004C0D45"/>
    <w:rsid w:val="004C0E1F"/>
    <w:rsid w:val="004C0E54"/>
    <w:rsid w:val="004C1005"/>
    <w:rsid w:val="004C100E"/>
    <w:rsid w:val="004C1375"/>
    <w:rsid w:val="004C14C6"/>
    <w:rsid w:val="004C174F"/>
    <w:rsid w:val="004C1A71"/>
    <w:rsid w:val="004C1C69"/>
    <w:rsid w:val="004C1CEE"/>
    <w:rsid w:val="004C1D1B"/>
    <w:rsid w:val="004C1D9D"/>
    <w:rsid w:val="004C1DDC"/>
    <w:rsid w:val="004C1EBE"/>
    <w:rsid w:val="004C2248"/>
    <w:rsid w:val="004C2797"/>
    <w:rsid w:val="004C2881"/>
    <w:rsid w:val="004C2902"/>
    <w:rsid w:val="004C2981"/>
    <w:rsid w:val="004C29B8"/>
    <w:rsid w:val="004C2D17"/>
    <w:rsid w:val="004C2EFC"/>
    <w:rsid w:val="004C2F19"/>
    <w:rsid w:val="004C3176"/>
    <w:rsid w:val="004C3286"/>
    <w:rsid w:val="004C355D"/>
    <w:rsid w:val="004C35A7"/>
    <w:rsid w:val="004C3A75"/>
    <w:rsid w:val="004C3AC8"/>
    <w:rsid w:val="004C3CB0"/>
    <w:rsid w:val="004C40D9"/>
    <w:rsid w:val="004C41B6"/>
    <w:rsid w:val="004C43BB"/>
    <w:rsid w:val="004C4468"/>
    <w:rsid w:val="004C4787"/>
    <w:rsid w:val="004C4A05"/>
    <w:rsid w:val="004C4A15"/>
    <w:rsid w:val="004C4BE2"/>
    <w:rsid w:val="004C4D9E"/>
    <w:rsid w:val="004C4FA0"/>
    <w:rsid w:val="004C5050"/>
    <w:rsid w:val="004C541F"/>
    <w:rsid w:val="004C55A4"/>
    <w:rsid w:val="004C5750"/>
    <w:rsid w:val="004C5D01"/>
    <w:rsid w:val="004C5E63"/>
    <w:rsid w:val="004C5EDF"/>
    <w:rsid w:val="004C60D8"/>
    <w:rsid w:val="004C613A"/>
    <w:rsid w:val="004C6310"/>
    <w:rsid w:val="004C65CF"/>
    <w:rsid w:val="004C66A5"/>
    <w:rsid w:val="004C66C7"/>
    <w:rsid w:val="004C68E3"/>
    <w:rsid w:val="004C6F23"/>
    <w:rsid w:val="004C6FD6"/>
    <w:rsid w:val="004C7064"/>
    <w:rsid w:val="004C716D"/>
    <w:rsid w:val="004C727B"/>
    <w:rsid w:val="004C72FD"/>
    <w:rsid w:val="004C7399"/>
    <w:rsid w:val="004C739A"/>
    <w:rsid w:val="004C758B"/>
    <w:rsid w:val="004C7792"/>
    <w:rsid w:val="004C7826"/>
    <w:rsid w:val="004C78A5"/>
    <w:rsid w:val="004C7A96"/>
    <w:rsid w:val="004C7F2A"/>
    <w:rsid w:val="004D0078"/>
    <w:rsid w:val="004D00E9"/>
    <w:rsid w:val="004D01E6"/>
    <w:rsid w:val="004D030B"/>
    <w:rsid w:val="004D03C6"/>
    <w:rsid w:val="004D0574"/>
    <w:rsid w:val="004D06B6"/>
    <w:rsid w:val="004D06FD"/>
    <w:rsid w:val="004D08AA"/>
    <w:rsid w:val="004D0912"/>
    <w:rsid w:val="004D0920"/>
    <w:rsid w:val="004D09EF"/>
    <w:rsid w:val="004D0AE2"/>
    <w:rsid w:val="004D0CE7"/>
    <w:rsid w:val="004D0DDA"/>
    <w:rsid w:val="004D0E48"/>
    <w:rsid w:val="004D0F77"/>
    <w:rsid w:val="004D1138"/>
    <w:rsid w:val="004D1401"/>
    <w:rsid w:val="004D1617"/>
    <w:rsid w:val="004D1789"/>
    <w:rsid w:val="004D18C4"/>
    <w:rsid w:val="004D1A52"/>
    <w:rsid w:val="004D1C90"/>
    <w:rsid w:val="004D1D79"/>
    <w:rsid w:val="004D1D87"/>
    <w:rsid w:val="004D22A6"/>
    <w:rsid w:val="004D2A0A"/>
    <w:rsid w:val="004D2A14"/>
    <w:rsid w:val="004D2AA7"/>
    <w:rsid w:val="004D2B27"/>
    <w:rsid w:val="004D2D36"/>
    <w:rsid w:val="004D2DE3"/>
    <w:rsid w:val="004D3084"/>
    <w:rsid w:val="004D314D"/>
    <w:rsid w:val="004D362F"/>
    <w:rsid w:val="004D386B"/>
    <w:rsid w:val="004D3C7C"/>
    <w:rsid w:val="004D3C89"/>
    <w:rsid w:val="004D3ED1"/>
    <w:rsid w:val="004D40B5"/>
    <w:rsid w:val="004D41A6"/>
    <w:rsid w:val="004D4276"/>
    <w:rsid w:val="004D44BA"/>
    <w:rsid w:val="004D4A23"/>
    <w:rsid w:val="004D4A90"/>
    <w:rsid w:val="004D4EB2"/>
    <w:rsid w:val="004D52D2"/>
    <w:rsid w:val="004D54CC"/>
    <w:rsid w:val="004D5501"/>
    <w:rsid w:val="004D559C"/>
    <w:rsid w:val="004D5666"/>
    <w:rsid w:val="004D5756"/>
    <w:rsid w:val="004D5822"/>
    <w:rsid w:val="004D58BC"/>
    <w:rsid w:val="004D5BAD"/>
    <w:rsid w:val="004D5C56"/>
    <w:rsid w:val="004D5C57"/>
    <w:rsid w:val="004D5CA5"/>
    <w:rsid w:val="004D5CC4"/>
    <w:rsid w:val="004D5E15"/>
    <w:rsid w:val="004D5FA7"/>
    <w:rsid w:val="004D5FD9"/>
    <w:rsid w:val="004D60F2"/>
    <w:rsid w:val="004D62F4"/>
    <w:rsid w:val="004D638E"/>
    <w:rsid w:val="004D64DD"/>
    <w:rsid w:val="004D65A1"/>
    <w:rsid w:val="004D6BDA"/>
    <w:rsid w:val="004D6D3D"/>
    <w:rsid w:val="004D6E37"/>
    <w:rsid w:val="004D6E90"/>
    <w:rsid w:val="004D6EB9"/>
    <w:rsid w:val="004D6EDD"/>
    <w:rsid w:val="004D6FA0"/>
    <w:rsid w:val="004D72E0"/>
    <w:rsid w:val="004D75E9"/>
    <w:rsid w:val="004D760C"/>
    <w:rsid w:val="004D7867"/>
    <w:rsid w:val="004D7B0D"/>
    <w:rsid w:val="004D7BB1"/>
    <w:rsid w:val="004D7EA2"/>
    <w:rsid w:val="004E002F"/>
    <w:rsid w:val="004E00EA"/>
    <w:rsid w:val="004E0580"/>
    <w:rsid w:val="004E05A2"/>
    <w:rsid w:val="004E06E7"/>
    <w:rsid w:val="004E0D6D"/>
    <w:rsid w:val="004E0F95"/>
    <w:rsid w:val="004E125A"/>
    <w:rsid w:val="004E13D5"/>
    <w:rsid w:val="004E14AC"/>
    <w:rsid w:val="004E14BE"/>
    <w:rsid w:val="004E162B"/>
    <w:rsid w:val="004E1768"/>
    <w:rsid w:val="004E1A25"/>
    <w:rsid w:val="004E1A95"/>
    <w:rsid w:val="004E1B33"/>
    <w:rsid w:val="004E1F0D"/>
    <w:rsid w:val="004E2184"/>
    <w:rsid w:val="004E21CD"/>
    <w:rsid w:val="004E21F3"/>
    <w:rsid w:val="004E2322"/>
    <w:rsid w:val="004E25F7"/>
    <w:rsid w:val="004E262A"/>
    <w:rsid w:val="004E2EDE"/>
    <w:rsid w:val="004E3032"/>
    <w:rsid w:val="004E317C"/>
    <w:rsid w:val="004E31D5"/>
    <w:rsid w:val="004E327B"/>
    <w:rsid w:val="004E32D3"/>
    <w:rsid w:val="004E33EA"/>
    <w:rsid w:val="004E35B8"/>
    <w:rsid w:val="004E36D1"/>
    <w:rsid w:val="004E377C"/>
    <w:rsid w:val="004E38DF"/>
    <w:rsid w:val="004E3A79"/>
    <w:rsid w:val="004E3BBC"/>
    <w:rsid w:val="004E3BFD"/>
    <w:rsid w:val="004E3D3B"/>
    <w:rsid w:val="004E3DC8"/>
    <w:rsid w:val="004E3E8D"/>
    <w:rsid w:val="004E3E8E"/>
    <w:rsid w:val="004E3F9D"/>
    <w:rsid w:val="004E419F"/>
    <w:rsid w:val="004E42C8"/>
    <w:rsid w:val="004E43DA"/>
    <w:rsid w:val="004E43F5"/>
    <w:rsid w:val="004E444A"/>
    <w:rsid w:val="004E4505"/>
    <w:rsid w:val="004E45E0"/>
    <w:rsid w:val="004E4DA8"/>
    <w:rsid w:val="004E4EED"/>
    <w:rsid w:val="004E4FAD"/>
    <w:rsid w:val="004E5304"/>
    <w:rsid w:val="004E5306"/>
    <w:rsid w:val="004E53DF"/>
    <w:rsid w:val="004E54AC"/>
    <w:rsid w:val="004E555B"/>
    <w:rsid w:val="004E5628"/>
    <w:rsid w:val="004E5741"/>
    <w:rsid w:val="004E5746"/>
    <w:rsid w:val="004E5947"/>
    <w:rsid w:val="004E5BD6"/>
    <w:rsid w:val="004E5CC8"/>
    <w:rsid w:val="004E5D20"/>
    <w:rsid w:val="004E5D96"/>
    <w:rsid w:val="004E5FB5"/>
    <w:rsid w:val="004E628D"/>
    <w:rsid w:val="004E6508"/>
    <w:rsid w:val="004E65F6"/>
    <w:rsid w:val="004E66F3"/>
    <w:rsid w:val="004E6731"/>
    <w:rsid w:val="004E674D"/>
    <w:rsid w:val="004E6771"/>
    <w:rsid w:val="004E68E8"/>
    <w:rsid w:val="004E6A2D"/>
    <w:rsid w:val="004E6A65"/>
    <w:rsid w:val="004E6AA3"/>
    <w:rsid w:val="004E6B14"/>
    <w:rsid w:val="004E6B34"/>
    <w:rsid w:val="004E6BE8"/>
    <w:rsid w:val="004E6D90"/>
    <w:rsid w:val="004E6E4C"/>
    <w:rsid w:val="004E7713"/>
    <w:rsid w:val="004E771D"/>
    <w:rsid w:val="004E7897"/>
    <w:rsid w:val="004E793E"/>
    <w:rsid w:val="004E7D48"/>
    <w:rsid w:val="004E7DE5"/>
    <w:rsid w:val="004E7E34"/>
    <w:rsid w:val="004F000E"/>
    <w:rsid w:val="004F0165"/>
    <w:rsid w:val="004F01D8"/>
    <w:rsid w:val="004F027A"/>
    <w:rsid w:val="004F0392"/>
    <w:rsid w:val="004F0395"/>
    <w:rsid w:val="004F040E"/>
    <w:rsid w:val="004F0443"/>
    <w:rsid w:val="004F05AE"/>
    <w:rsid w:val="004F074B"/>
    <w:rsid w:val="004F07C9"/>
    <w:rsid w:val="004F08A8"/>
    <w:rsid w:val="004F0DAD"/>
    <w:rsid w:val="004F0DD6"/>
    <w:rsid w:val="004F0FF6"/>
    <w:rsid w:val="004F10E7"/>
    <w:rsid w:val="004F119D"/>
    <w:rsid w:val="004F126B"/>
    <w:rsid w:val="004F12E0"/>
    <w:rsid w:val="004F15A5"/>
    <w:rsid w:val="004F15B1"/>
    <w:rsid w:val="004F1708"/>
    <w:rsid w:val="004F175E"/>
    <w:rsid w:val="004F1AAF"/>
    <w:rsid w:val="004F1B30"/>
    <w:rsid w:val="004F1E23"/>
    <w:rsid w:val="004F1E81"/>
    <w:rsid w:val="004F224D"/>
    <w:rsid w:val="004F230D"/>
    <w:rsid w:val="004F2345"/>
    <w:rsid w:val="004F23C9"/>
    <w:rsid w:val="004F2517"/>
    <w:rsid w:val="004F2603"/>
    <w:rsid w:val="004F2821"/>
    <w:rsid w:val="004F2947"/>
    <w:rsid w:val="004F29B2"/>
    <w:rsid w:val="004F2CD7"/>
    <w:rsid w:val="004F2F03"/>
    <w:rsid w:val="004F2F43"/>
    <w:rsid w:val="004F3045"/>
    <w:rsid w:val="004F3163"/>
    <w:rsid w:val="004F317B"/>
    <w:rsid w:val="004F317C"/>
    <w:rsid w:val="004F355F"/>
    <w:rsid w:val="004F36D5"/>
    <w:rsid w:val="004F36DA"/>
    <w:rsid w:val="004F3C55"/>
    <w:rsid w:val="004F3D44"/>
    <w:rsid w:val="004F3DF2"/>
    <w:rsid w:val="004F3E8E"/>
    <w:rsid w:val="004F4285"/>
    <w:rsid w:val="004F42AF"/>
    <w:rsid w:val="004F4540"/>
    <w:rsid w:val="004F48AB"/>
    <w:rsid w:val="004F4900"/>
    <w:rsid w:val="004F4992"/>
    <w:rsid w:val="004F4A23"/>
    <w:rsid w:val="004F4A45"/>
    <w:rsid w:val="004F4A7D"/>
    <w:rsid w:val="004F4A8F"/>
    <w:rsid w:val="004F4AE5"/>
    <w:rsid w:val="004F4B92"/>
    <w:rsid w:val="004F4CD7"/>
    <w:rsid w:val="004F4CEB"/>
    <w:rsid w:val="004F4E44"/>
    <w:rsid w:val="004F4ECE"/>
    <w:rsid w:val="004F4EE6"/>
    <w:rsid w:val="004F507B"/>
    <w:rsid w:val="004F536C"/>
    <w:rsid w:val="004F5466"/>
    <w:rsid w:val="004F5676"/>
    <w:rsid w:val="004F597C"/>
    <w:rsid w:val="004F5AD2"/>
    <w:rsid w:val="004F5B51"/>
    <w:rsid w:val="004F5D36"/>
    <w:rsid w:val="004F5E62"/>
    <w:rsid w:val="004F5EB8"/>
    <w:rsid w:val="004F5F0A"/>
    <w:rsid w:val="004F6350"/>
    <w:rsid w:val="004F640C"/>
    <w:rsid w:val="004F6556"/>
    <w:rsid w:val="004F6710"/>
    <w:rsid w:val="004F6AB7"/>
    <w:rsid w:val="004F6D76"/>
    <w:rsid w:val="004F6E5A"/>
    <w:rsid w:val="004F6E7D"/>
    <w:rsid w:val="004F71AB"/>
    <w:rsid w:val="004F71CF"/>
    <w:rsid w:val="004F749C"/>
    <w:rsid w:val="004F7865"/>
    <w:rsid w:val="004F7BDF"/>
    <w:rsid w:val="004F7CBA"/>
    <w:rsid w:val="0050007C"/>
    <w:rsid w:val="00500185"/>
    <w:rsid w:val="00500209"/>
    <w:rsid w:val="0050034B"/>
    <w:rsid w:val="005003F6"/>
    <w:rsid w:val="0050043E"/>
    <w:rsid w:val="00500761"/>
    <w:rsid w:val="0050099A"/>
    <w:rsid w:val="005009C3"/>
    <w:rsid w:val="00500AD3"/>
    <w:rsid w:val="00500CBD"/>
    <w:rsid w:val="005012CB"/>
    <w:rsid w:val="0050142D"/>
    <w:rsid w:val="005014ED"/>
    <w:rsid w:val="00501537"/>
    <w:rsid w:val="00501594"/>
    <w:rsid w:val="005017EE"/>
    <w:rsid w:val="005018B0"/>
    <w:rsid w:val="00501B16"/>
    <w:rsid w:val="00501B6C"/>
    <w:rsid w:val="00501CF3"/>
    <w:rsid w:val="00501F10"/>
    <w:rsid w:val="005020EB"/>
    <w:rsid w:val="0050214A"/>
    <w:rsid w:val="005021AE"/>
    <w:rsid w:val="0050224D"/>
    <w:rsid w:val="0050226B"/>
    <w:rsid w:val="00502796"/>
    <w:rsid w:val="0050281A"/>
    <w:rsid w:val="0050291B"/>
    <w:rsid w:val="00502A9D"/>
    <w:rsid w:val="00502C5F"/>
    <w:rsid w:val="00502CAA"/>
    <w:rsid w:val="00502FE0"/>
    <w:rsid w:val="005030AD"/>
    <w:rsid w:val="0050311C"/>
    <w:rsid w:val="005032DB"/>
    <w:rsid w:val="00503767"/>
    <w:rsid w:val="00503A39"/>
    <w:rsid w:val="00503C33"/>
    <w:rsid w:val="00503CC8"/>
    <w:rsid w:val="00503FC1"/>
    <w:rsid w:val="00503FC6"/>
    <w:rsid w:val="005041B6"/>
    <w:rsid w:val="0050489C"/>
    <w:rsid w:val="00504C5E"/>
    <w:rsid w:val="00504DB1"/>
    <w:rsid w:val="00504E13"/>
    <w:rsid w:val="005052E3"/>
    <w:rsid w:val="0050553D"/>
    <w:rsid w:val="00505759"/>
    <w:rsid w:val="00505AB8"/>
    <w:rsid w:val="00505C1B"/>
    <w:rsid w:val="00505D4C"/>
    <w:rsid w:val="00505E43"/>
    <w:rsid w:val="00505EFF"/>
    <w:rsid w:val="005060A3"/>
    <w:rsid w:val="00506284"/>
    <w:rsid w:val="005067BE"/>
    <w:rsid w:val="005067FB"/>
    <w:rsid w:val="005067FF"/>
    <w:rsid w:val="00506C97"/>
    <w:rsid w:val="00506DF3"/>
    <w:rsid w:val="005072F7"/>
    <w:rsid w:val="005075AB"/>
    <w:rsid w:val="005077F7"/>
    <w:rsid w:val="00507A88"/>
    <w:rsid w:val="00507C65"/>
    <w:rsid w:val="00507D88"/>
    <w:rsid w:val="00507F52"/>
    <w:rsid w:val="00507F7A"/>
    <w:rsid w:val="0051012A"/>
    <w:rsid w:val="005103FC"/>
    <w:rsid w:val="005107D2"/>
    <w:rsid w:val="00510ABE"/>
    <w:rsid w:val="00510B22"/>
    <w:rsid w:val="00510BBC"/>
    <w:rsid w:val="00510E6C"/>
    <w:rsid w:val="00510EC3"/>
    <w:rsid w:val="005110A8"/>
    <w:rsid w:val="00511147"/>
    <w:rsid w:val="00511191"/>
    <w:rsid w:val="005112BB"/>
    <w:rsid w:val="005116C4"/>
    <w:rsid w:val="0051176C"/>
    <w:rsid w:val="005118C1"/>
    <w:rsid w:val="0051198B"/>
    <w:rsid w:val="00511A1C"/>
    <w:rsid w:val="00511B6A"/>
    <w:rsid w:val="00511CBE"/>
    <w:rsid w:val="00511CDC"/>
    <w:rsid w:val="00511E39"/>
    <w:rsid w:val="00511FCE"/>
    <w:rsid w:val="00512007"/>
    <w:rsid w:val="00512111"/>
    <w:rsid w:val="005121D0"/>
    <w:rsid w:val="0051228D"/>
    <w:rsid w:val="005123B7"/>
    <w:rsid w:val="005123D2"/>
    <w:rsid w:val="005125DA"/>
    <w:rsid w:val="005126AF"/>
    <w:rsid w:val="005127C9"/>
    <w:rsid w:val="0051292E"/>
    <w:rsid w:val="00512966"/>
    <w:rsid w:val="00512AFF"/>
    <w:rsid w:val="00512BD7"/>
    <w:rsid w:val="005134C6"/>
    <w:rsid w:val="0051351E"/>
    <w:rsid w:val="00513616"/>
    <w:rsid w:val="0051363D"/>
    <w:rsid w:val="00513647"/>
    <w:rsid w:val="00513768"/>
    <w:rsid w:val="005137A8"/>
    <w:rsid w:val="00513ABC"/>
    <w:rsid w:val="00513C04"/>
    <w:rsid w:val="00513C58"/>
    <w:rsid w:val="00513C70"/>
    <w:rsid w:val="00513D0F"/>
    <w:rsid w:val="00513DFA"/>
    <w:rsid w:val="00514028"/>
    <w:rsid w:val="00514034"/>
    <w:rsid w:val="005140F9"/>
    <w:rsid w:val="005143F2"/>
    <w:rsid w:val="005144B7"/>
    <w:rsid w:val="005147A4"/>
    <w:rsid w:val="00514964"/>
    <w:rsid w:val="0051496E"/>
    <w:rsid w:val="00514B10"/>
    <w:rsid w:val="00514C88"/>
    <w:rsid w:val="00514E76"/>
    <w:rsid w:val="00514EEE"/>
    <w:rsid w:val="00515046"/>
    <w:rsid w:val="005150EC"/>
    <w:rsid w:val="005155A6"/>
    <w:rsid w:val="00515940"/>
    <w:rsid w:val="00515AB6"/>
    <w:rsid w:val="00515B97"/>
    <w:rsid w:val="00515C6E"/>
    <w:rsid w:val="00515CB3"/>
    <w:rsid w:val="00515CE7"/>
    <w:rsid w:val="00515D52"/>
    <w:rsid w:val="00515DA0"/>
    <w:rsid w:val="00515DB9"/>
    <w:rsid w:val="00515E38"/>
    <w:rsid w:val="00515E8C"/>
    <w:rsid w:val="005163DB"/>
    <w:rsid w:val="005164BA"/>
    <w:rsid w:val="00516599"/>
    <w:rsid w:val="005165F0"/>
    <w:rsid w:val="00516616"/>
    <w:rsid w:val="00516785"/>
    <w:rsid w:val="00516C2F"/>
    <w:rsid w:val="00516D6F"/>
    <w:rsid w:val="00516F10"/>
    <w:rsid w:val="00516FB6"/>
    <w:rsid w:val="005170B8"/>
    <w:rsid w:val="005172B2"/>
    <w:rsid w:val="0051748D"/>
    <w:rsid w:val="0051767E"/>
    <w:rsid w:val="0051769D"/>
    <w:rsid w:val="00517A89"/>
    <w:rsid w:val="00517AB8"/>
    <w:rsid w:val="00517B79"/>
    <w:rsid w:val="00517C20"/>
    <w:rsid w:val="00517C95"/>
    <w:rsid w:val="00517E9D"/>
    <w:rsid w:val="00517FA7"/>
    <w:rsid w:val="00520046"/>
    <w:rsid w:val="0052005F"/>
    <w:rsid w:val="00520177"/>
    <w:rsid w:val="0052030F"/>
    <w:rsid w:val="00520450"/>
    <w:rsid w:val="00520473"/>
    <w:rsid w:val="005204F6"/>
    <w:rsid w:val="00520528"/>
    <w:rsid w:val="0052054B"/>
    <w:rsid w:val="00520890"/>
    <w:rsid w:val="00520A3B"/>
    <w:rsid w:val="00520C50"/>
    <w:rsid w:val="00520FF0"/>
    <w:rsid w:val="005210CF"/>
    <w:rsid w:val="005211FB"/>
    <w:rsid w:val="0052151A"/>
    <w:rsid w:val="00521590"/>
    <w:rsid w:val="00521663"/>
    <w:rsid w:val="005219E1"/>
    <w:rsid w:val="00521A55"/>
    <w:rsid w:val="00521CDE"/>
    <w:rsid w:val="00521E0E"/>
    <w:rsid w:val="00521E35"/>
    <w:rsid w:val="00522107"/>
    <w:rsid w:val="005221D1"/>
    <w:rsid w:val="0052248E"/>
    <w:rsid w:val="0052249E"/>
    <w:rsid w:val="00522C6E"/>
    <w:rsid w:val="00522CB4"/>
    <w:rsid w:val="0052300B"/>
    <w:rsid w:val="0052304A"/>
    <w:rsid w:val="00523125"/>
    <w:rsid w:val="00523285"/>
    <w:rsid w:val="00523313"/>
    <w:rsid w:val="005234B0"/>
    <w:rsid w:val="00523931"/>
    <w:rsid w:val="00523B5D"/>
    <w:rsid w:val="00523CC3"/>
    <w:rsid w:val="00523E12"/>
    <w:rsid w:val="00523F11"/>
    <w:rsid w:val="00523F7F"/>
    <w:rsid w:val="00523FF7"/>
    <w:rsid w:val="0052407F"/>
    <w:rsid w:val="0052409D"/>
    <w:rsid w:val="0052419D"/>
    <w:rsid w:val="0052425D"/>
    <w:rsid w:val="0052440D"/>
    <w:rsid w:val="005244F5"/>
    <w:rsid w:val="00524634"/>
    <w:rsid w:val="005246F5"/>
    <w:rsid w:val="0052471F"/>
    <w:rsid w:val="00524776"/>
    <w:rsid w:val="005247A6"/>
    <w:rsid w:val="00524A85"/>
    <w:rsid w:val="00524B26"/>
    <w:rsid w:val="00525405"/>
    <w:rsid w:val="0052551B"/>
    <w:rsid w:val="005255CC"/>
    <w:rsid w:val="00525614"/>
    <w:rsid w:val="005256D2"/>
    <w:rsid w:val="005256D9"/>
    <w:rsid w:val="00525A99"/>
    <w:rsid w:val="00525B91"/>
    <w:rsid w:val="00525BC9"/>
    <w:rsid w:val="00525CEB"/>
    <w:rsid w:val="00525DC5"/>
    <w:rsid w:val="0052610F"/>
    <w:rsid w:val="005262DA"/>
    <w:rsid w:val="00526369"/>
    <w:rsid w:val="005263D3"/>
    <w:rsid w:val="00526497"/>
    <w:rsid w:val="00526625"/>
    <w:rsid w:val="00526662"/>
    <w:rsid w:val="00526D69"/>
    <w:rsid w:val="00526FA2"/>
    <w:rsid w:val="0052708D"/>
    <w:rsid w:val="00527246"/>
    <w:rsid w:val="0052736F"/>
    <w:rsid w:val="00527471"/>
    <w:rsid w:val="005275CC"/>
    <w:rsid w:val="00527752"/>
    <w:rsid w:val="005278AB"/>
    <w:rsid w:val="00527978"/>
    <w:rsid w:val="00527BAF"/>
    <w:rsid w:val="00527D24"/>
    <w:rsid w:val="00527F55"/>
    <w:rsid w:val="00527FF0"/>
    <w:rsid w:val="0053004A"/>
    <w:rsid w:val="0053016F"/>
    <w:rsid w:val="005301F8"/>
    <w:rsid w:val="00530250"/>
    <w:rsid w:val="005302D1"/>
    <w:rsid w:val="0053033D"/>
    <w:rsid w:val="0053045D"/>
    <w:rsid w:val="005305AA"/>
    <w:rsid w:val="0053079D"/>
    <w:rsid w:val="00530B6C"/>
    <w:rsid w:val="00530C57"/>
    <w:rsid w:val="00530D9B"/>
    <w:rsid w:val="00530EEC"/>
    <w:rsid w:val="00530FA2"/>
    <w:rsid w:val="005312D2"/>
    <w:rsid w:val="005312E0"/>
    <w:rsid w:val="005312FC"/>
    <w:rsid w:val="005313AF"/>
    <w:rsid w:val="005313DE"/>
    <w:rsid w:val="00531544"/>
    <w:rsid w:val="005315BB"/>
    <w:rsid w:val="0053187E"/>
    <w:rsid w:val="00531C12"/>
    <w:rsid w:val="00531C1D"/>
    <w:rsid w:val="00531D09"/>
    <w:rsid w:val="00531D6C"/>
    <w:rsid w:val="00531DED"/>
    <w:rsid w:val="00531EED"/>
    <w:rsid w:val="00531FD5"/>
    <w:rsid w:val="0053214C"/>
    <w:rsid w:val="00532246"/>
    <w:rsid w:val="005322C4"/>
    <w:rsid w:val="00532317"/>
    <w:rsid w:val="00532355"/>
    <w:rsid w:val="00532B51"/>
    <w:rsid w:val="00532B84"/>
    <w:rsid w:val="00532C6D"/>
    <w:rsid w:val="00532E93"/>
    <w:rsid w:val="0053305E"/>
    <w:rsid w:val="0053324D"/>
    <w:rsid w:val="00533357"/>
    <w:rsid w:val="005333C5"/>
    <w:rsid w:val="0053363B"/>
    <w:rsid w:val="005337AB"/>
    <w:rsid w:val="00533893"/>
    <w:rsid w:val="00533BF2"/>
    <w:rsid w:val="00533CA3"/>
    <w:rsid w:val="00533CD9"/>
    <w:rsid w:val="0053401F"/>
    <w:rsid w:val="0053426A"/>
    <w:rsid w:val="005343DF"/>
    <w:rsid w:val="00534625"/>
    <w:rsid w:val="005349C0"/>
    <w:rsid w:val="00534A1D"/>
    <w:rsid w:val="00534CDB"/>
    <w:rsid w:val="00534D5B"/>
    <w:rsid w:val="00534EDB"/>
    <w:rsid w:val="00534F8A"/>
    <w:rsid w:val="00534FB8"/>
    <w:rsid w:val="00535089"/>
    <w:rsid w:val="005350AF"/>
    <w:rsid w:val="005353A6"/>
    <w:rsid w:val="0053569E"/>
    <w:rsid w:val="00535789"/>
    <w:rsid w:val="0053590A"/>
    <w:rsid w:val="00535910"/>
    <w:rsid w:val="005359D8"/>
    <w:rsid w:val="00535E56"/>
    <w:rsid w:val="0053603D"/>
    <w:rsid w:val="0053609D"/>
    <w:rsid w:val="005363CF"/>
    <w:rsid w:val="005365B4"/>
    <w:rsid w:val="005367F1"/>
    <w:rsid w:val="00536889"/>
    <w:rsid w:val="005369A2"/>
    <w:rsid w:val="005369A3"/>
    <w:rsid w:val="00536D2E"/>
    <w:rsid w:val="00536E7F"/>
    <w:rsid w:val="0053742A"/>
    <w:rsid w:val="0053748C"/>
    <w:rsid w:val="005374E3"/>
    <w:rsid w:val="005377C0"/>
    <w:rsid w:val="005377D4"/>
    <w:rsid w:val="00537869"/>
    <w:rsid w:val="005378BB"/>
    <w:rsid w:val="00537C85"/>
    <w:rsid w:val="00537EF1"/>
    <w:rsid w:val="00537F28"/>
    <w:rsid w:val="00540047"/>
    <w:rsid w:val="0054012D"/>
    <w:rsid w:val="00540386"/>
    <w:rsid w:val="00540816"/>
    <w:rsid w:val="00540869"/>
    <w:rsid w:val="005408D8"/>
    <w:rsid w:val="0054098C"/>
    <w:rsid w:val="00540FE0"/>
    <w:rsid w:val="00541036"/>
    <w:rsid w:val="005411FE"/>
    <w:rsid w:val="00541216"/>
    <w:rsid w:val="0054149B"/>
    <w:rsid w:val="005414EC"/>
    <w:rsid w:val="00541601"/>
    <w:rsid w:val="0054174B"/>
    <w:rsid w:val="00541871"/>
    <w:rsid w:val="00541D29"/>
    <w:rsid w:val="00541E01"/>
    <w:rsid w:val="0054202F"/>
    <w:rsid w:val="0054208D"/>
    <w:rsid w:val="005420A9"/>
    <w:rsid w:val="00542329"/>
    <w:rsid w:val="00542573"/>
    <w:rsid w:val="0054258D"/>
    <w:rsid w:val="005425BE"/>
    <w:rsid w:val="00542650"/>
    <w:rsid w:val="005429DA"/>
    <w:rsid w:val="00542ABA"/>
    <w:rsid w:val="00542C58"/>
    <w:rsid w:val="00542D29"/>
    <w:rsid w:val="00542D56"/>
    <w:rsid w:val="00543127"/>
    <w:rsid w:val="00543188"/>
    <w:rsid w:val="0054332C"/>
    <w:rsid w:val="0054332F"/>
    <w:rsid w:val="005434B9"/>
    <w:rsid w:val="005435DC"/>
    <w:rsid w:val="005435FC"/>
    <w:rsid w:val="00543649"/>
    <w:rsid w:val="0054384D"/>
    <w:rsid w:val="005439AB"/>
    <w:rsid w:val="00543AD7"/>
    <w:rsid w:val="00543E6D"/>
    <w:rsid w:val="00543E8C"/>
    <w:rsid w:val="00543F23"/>
    <w:rsid w:val="00543FCD"/>
    <w:rsid w:val="00543FE5"/>
    <w:rsid w:val="00544629"/>
    <w:rsid w:val="005446C3"/>
    <w:rsid w:val="0054487E"/>
    <w:rsid w:val="00544892"/>
    <w:rsid w:val="00544D04"/>
    <w:rsid w:val="00544FEA"/>
    <w:rsid w:val="0054506E"/>
    <w:rsid w:val="0054545C"/>
    <w:rsid w:val="005455CF"/>
    <w:rsid w:val="0054565D"/>
    <w:rsid w:val="005458FA"/>
    <w:rsid w:val="0054597F"/>
    <w:rsid w:val="005459A8"/>
    <w:rsid w:val="005459E0"/>
    <w:rsid w:val="00545A02"/>
    <w:rsid w:val="00545AD7"/>
    <w:rsid w:val="00545CC2"/>
    <w:rsid w:val="00545F47"/>
    <w:rsid w:val="00545FCE"/>
    <w:rsid w:val="0054618E"/>
    <w:rsid w:val="005461C9"/>
    <w:rsid w:val="005465F3"/>
    <w:rsid w:val="005465F8"/>
    <w:rsid w:val="005466E6"/>
    <w:rsid w:val="005469F5"/>
    <w:rsid w:val="005471FB"/>
    <w:rsid w:val="005472B9"/>
    <w:rsid w:val="005472C2"/>
    <w:rsid w:val="0054740E"/>
    <w:rsid w:val="00547573"/>
    <w:rsid w:val="00547623"/>
    <w:rsid w:val="0054772C"/>
    <w:rsid w:val="005477E9"/>
    <w:rsid w:val="005479B1"/>
    <w:rsid w:val="00547A1B"/>
    <w:rsid w:val="00547B23"/>
    <w:rsid w:val="00547BE8"/>
    <w:rsid w:val="00547D33"/>
    <w:rsid w:val="00547DB9"/>
    <w:rsid w:val="00547F3F"/>
    <w:rsid w:val="00547FF2"/>
    <w:rsid w:val="0054B8B5"/>
    <w:rsid w:val="005501C7"/>
    <w:rsid w:val="005502FF"/>
    <w:rsid w:val="0055066F"/>
    <w:rsid w:val="00550714"/>
    <w:rsid w:val="00550734"/>
    <w:rsid w:val="005507B4"/>
    <w:rsid w:val="005507E8"/>
    <w:rsid w:val="00550950"/>
    <w:rsid w:val="0055097B"/>
    <w:rsid w:val="0055099C"/>
    <w:rsid w:val="00550A3E"/>
    <w:rsid w:val="00550FAE"/>
    <w:rsid w:val="0055104A"/>
    <w:rsid w:val="005510BD"/>
    <w:rsid w:val="00551170"/>
    <w:rsid w:val="005511DC"/>
    <w:rsid w:val="005511E5"/>
    <w:rsid w:val="005513EB"/>
    <w:rsid w:val="00551727"/>
    <w:rsid w:val="005517A5"/>
    <w:rsid w:val="00551941"/>
    <w:rsid w:val="00551C0B"/>
    <w:rsid w:val="00551C38"/>
    <w:rsid w:val="00551CE2"/>
    <w:rsid w:val="00551DED"/>
    <w:rsid w:val="00551E8F"/>
    <w:rsid w:val="00551F02"/>
    <w:rsid w:val="00552118"/>
    <w:rsid w:val="00552394"/>
    <w:rsid w:val="005524BB"/>
    <w:rsid w:val="005528D4"/>
    <w:rsid w:val="00552B51"/>
    <w:rsid w:val="00552D45"/>
    <w:rsid w:val="00552E17"/>
    <w:rsid w:val="00552F83"/>
    <w:rsid w:val="0055353D"/>
    <w:rsid w:val="00553A9C"/>
    <w:rsid w:val="00553B45"/>
    <w:rsid w:val="00553D58"/>
    <w:rsid w:val="00553DBF"/>
    <w:rsid w:val="00553E76"/>
    <w:rsid w:val="00554050"/>
    <w:rsid w:val="005541C6"/>
    <w:rsid w:val="0055441B"/>
    <w:rsid w:val="00554484"/>
    <w:rsid w:val="0055456C"/>
    <w:rsid w:val="00554725"/>
    <w:rsid w:val="00554A9B"/>
    <w:rsid w:val="00554CFF"/>
    <w:rsid w:val="00554D49"/>
    <w:rsid w:val="00554DB1"/>
    <w:rsid w:val="00554DE5"/>
    <w:rsid w:val="00554DFC"/>
    <w:rsid w:val="00554F10"/>
    <w:rsid w:val="00554F4D"/>
    <w:rsid w:val="00555005"/>
    <w:rsid w:val="00555106"/>
    <w:rsid w:val="005551D9"/>
    <w:rsid w:val="00555275"/>
    <w:rsid w:val="005553CE"/>
    <w:rsid w:val="0055566C"/>
    <w:rsid w:val="00555685"/>
    <w:rsid w:val="00555972"/>
    <w:rsid w:val="005559DF"/>
    <w:rsid w:val="005559F0"/>
    <w:rsid w:val="00555BE3"/>
    <w:rsid w:val="00555D43"/>
    <w:rsid w:val="00555E00"/>
    <w:rsid w:val="00555E8F"/>
    <w:rsid w:val="00555EEE"/>
    <w:rsid w:val="00556154"/>
    <w:rsid w:val="005561D8"/>
    <w:rsid w:val="0055635A"/>
    <w:rsid w:val="005563DD"/>
    <w:rsid w:val="00556501"/>
    <w:rsid w:val="00556502"/>
    <w:rsid w:val="005567E9"/>
    <w:rsid w:val="00556961"/>
    <w:rsid w:val="00556ABF"/>
    <w:rsid w:val="00556B1F"/>
    <w:rsid w:val="00556C6A"/>
    <w:rsid w:val="00556CB0"/>
    <w:rsid w:val="00556E83"/>
    <w:rsid w:val="00556F2A"/>
    <w:rsid w:val="00556FF4"/>
    <w:rsid w:val="00557031"/>
    <w:rsid w:val="00557072"/>
    <w:rsid w:val="005570B0"/>
    <w:rsid w:val="005571A7"/>
    <w:rsid w:val="0055727C"/>
    <w:rsid w:val="005574BF"/>
    <w:rsid w:val="005574D0"/>
    <w:rsid w:val="00557502"/>
    <w:rsid w:val="0055751C"/>
    <w:rsid w:val="0055767E"/>
    <w:rsid w:val="005578FA"/>
    <w:rsid w:val="00557A1A"/>
    <w:rsid w:val="00557B72"/>
    <w:rsid w:val="00557D96"/>
    <w:rsid w:val="00557EDA"/>
    <w:rsid w:val="0056029F"/>
    <w:rsid w:val="005605B8"/>
    <w:rsid w:val="00560714"/>
    <w:rsid w:val="005607F3"/>
    <w:rsid w:val="00560842"/>
    <w:rsid w:val="00560A17"/>
    <w:rsid w:val="00560BD0"/>
    <w:rsid w:val="00560C10"/>
    <w:rsid w:val="00560C3E"/>
    <w:rsid w:val="00560D09"/>
    <w:rsid w:val="00560DA5"/>
    <w:rsid w:val="00560E08"/>
    <w:rsid w:val="00560EC8"/>
    <w:rsid w:val="00560F99"/>
    <w:rsid w:val="00561132"/>
    <w:rsid w:val="00561236"/>
    <w:rsid w:val="005612FC"/>
    <w:rsid w:val="00561374"/>
    <w:rsid w:val="005613EC"/>
    <w:rsid w:val="00561730"/>
    <w:rsid w:val="0056174C"/>
    <w:rsid w:val="005619A2"/>
    <w:rsid w:val="00561BA5"/>
    <w:rsid w:val="00561D18"/>
    <w:rsid w:val="00562031"/>
    <w:rsid w:val="00562185"/>
    <w:rsid w:val="00562188"/>
    <w:rsid w:val="0056232D"/>
    <w:rsid w:val="00562625"/>
    <w:rsid w:val="00562883"/>
    <w:rsid w:val="0056295B"/>
    <w:rsid w:val="005629EB"/>
    <w:rsid w:val="00562A0C"/>
    <w:rsid w:val="00562AF7"/>
    <w:rsid w:val="00562BBC"/>
    <w:rsid w:val="00562C2E"/>
    <w:rsid w:val="00562D53"/>
    <w:rsid w:val="00562F17"/>
    <w:rsid w:val="00562F37"/>
    <w:rsid w:val="00562F91"/>
    <w:rsid w:val="0056305C"/>
    <w:rsid w:val="00563285"/>
    <w:rsid w:val="005634A2"/>
    <w:rsid w:val="005635EF"/>
    <w:rsid w:val="00563620"/>
    <w:rsid w:val="00563690"/>
    <w:rsid w:val="0056369B"/>
    <w:rsid w:val="0056379B"/>
    <w:rsid w:val="00563928"/>
    <w:rsid w:val="0056397A"/>
    <w:rsid w:val="00563D77"/>
    <w:rsid w:val="00563ED2"/>
    <w:rsid w:val="00563EF3"/>
    <w:rsid w:val="005640CD"/>
    <w:rsid w:val="00564657"/>
    <w:rsid w:val="00564B43"/>
    <w:rsid w:val="00564D5F"/>
    <w:rsid w:val="00564DBE"/>
    <w:rsid w:val="00564F6B"/>
    <w:rsid w:val="00565314"/>
    <w:rsid w:val="00565424"/>
    <w:rsid w:val="0056542D"/>
    <w:rsid w:val="0056544F"/>
    <w:rsid w:val="0056582C"/>
    <w:rsid w:val="005658FC"/>
    <w:rsid w:val="0056613F"/>
    <w:rsid w:val="005663A7"/>
    <w:rsid w:val="00566412"/>
    <w:rsid w:val="005664D0"/>
    <w:rsid w:val="0056651C"/>
    <w:rsid w:val="005668F2"/>
    <w:rsid w:val="005669DB"/>
    <w:rsid w:val="00566AB5"/>
    <w:rsid w:val="00567038"/>
    <w:rsid w:val="0056729B"/>
    <w:rsid w:val="00567507"/>
    <w:rsid w:val="005675AA"/>
    <w:rsid w:val="005675EB"/>
    <w:rsid w:val="0056762A"/>
    <w:rsid w:val="0056762F"/>
    <w:rsid w:val="00567657"/>
    <w:rsid w:val="0056774F"/>
    <w:rsid w:val="0056783E"/>
    <w:rsid w:val="00567BEB"/>
    <w:rsid w:val="00567D1A"/>
    <w:rsid w:val="00567D96"/>
    <w:rsid w:val="00567DB4"/>
    <w:rsid w:val="00567E1B"/>
    <w:rsid w:val="00567EAA"/>
    <w:rsid w:val="00567F97"/>
    <w:rsid w:val="005702A0"/>
    <w:rsid w:val="005704FA"/>
    <w:rsid w:val="00570526"/>
    <w:rsid w:val="00570731"/>
    <w:rsid w:val="005707C1"/>
    <w:rsid w:val="005708DA"/>
    <w:rsid w:val="00570916"/>
    <w:rsid w:val="00570951"/>
    <w:rsid w:val="00570AC3"/>
    <w:rsid w:val="00570D7C"/>
    <w:rsid w:val="00570E92"/>
    <w:rsid w:val="00570F51"/>
    <w:rsid w:val="00570F5B"/>
    <w:rsid w:val="00570FB1"/>
    <w:rsid w:val="005711B7"/>
    <w:rsid w:val="005711F4"/>
    <w:rsid w:val="00571796"/>
    <w:rsid w:val="00571836"/>
    <w:rsid w:val="00571A96"/>
    <w:rsid w:val="00571B61"/>
    <w:rsid w:val="00571C87"/>
    <w:rsid w:val="00571D71"/>
    <w:rsid w:val="00571FC9"/>
    <w:rsid w:val="005720C5"/>
    <w:rsid w:val="005721D6"/>
    <w:rsid w:val="0057234E"/>
    <w:rsid w:val="00572B5A"/>
    <w:rsid w:val="00572B92"/>
    <w:rsid w:val="00572DFA"/>
    <w:rsid w:val="00572E45"/>
    <w:rsid w:val="00572EEA"/>
    <w:rsid w:val="005730DB"/>
    <w:rsid w:val="005731F2"/>
    <w:rsid w:val="00573257"/>
    <w:rsid w:val="005732FB"/>
    <w:rsid w:val="00573378"/>
    <w:rsid w:val="00573423"/>
    <w:rsid w:val="00573479"/>
    <w:rsid w:val="00573526"/>
    <w:rsid w:val="0057361D"/>
    <w:rsid w:val="00573697"/>
    <w:rsid w:val="00573A2C"/>
    <w:rsid w:val="00573D52"/>
    <w:rsid w:val="00573DAB"/>
    <w:rsid w:val="00573DB3"/>
    <w:rsid w:val="00573EE9"/>
    <w:rsid w:val="00573F2F"/>
    <w:rsid w:val="00574079"/>
    <w:rsid w:val="0057412F"/>
    <w:rsid w:val="00574416"/>
    <w:rsid w:val="0057465E"/>
    <w:rsid w:val="005746E9"/>
    <w:rsid w:val="00574998"/>
    <w:rsid w:val="00574A27"/>
    <w:rsid w:val="00574B5D"/>
    <w:rsid w:val="005750D4"/>
    <w:rsid w:val="0057527E"/>
    <w:rsid w:val="005753E0"/>
    <w:rsid w:val="005753E2"/>
    <w:rsid w:val="0057552C"/>
    <w:rsid w:val="00575923"/>
    <w:rsid w:val="00575981"/>
    <w:rsid w:val="00575B70"/>
    <w:rsid w:val="00575BC5"/>
    <w:rsid w:val="00575C3B"/>
    <w:rsid w:val="00575F4F"/>
    <w:rsid w:val="00575FF4"/>
    <w:rsid w:val="0057602B"/>
    <w:rsid w:val="005761D4"/>
    <w:rsid w:val="00576496"/>
    <w:rsid w:val="00576523"/>
    <w:rsid w:val="005766BD"/>
    <w:rsid w:val="005768D5"/>
    <w:rsid w:val="00576D4F"/>
    <w:rsid w:val="00576E6F"/>
    <w:rsid w:val="00576FA0"/>
    <w:rsid w:val="00577038"/>
    <w:rsid w:val="005770D2"/>
    <w:rsid w:val="00577205"/>
    <w:rsid w:val="0057725F"/>
    <w:rsid w:val="0057742C"/>
    <w:rsid w:val="005775DD"/>
    <w:rsid w:val="005776B2"/>
    <w:rsid w:val="00577765"/>
    <w:rsid w:val="0057787A"/>
    <w:rsid w:val="005778A6"/>
    <w:rsid w:val="00577973"/>
    <w:rsid w:val="00577D51"/>
    <w:rsid w:val="00577EC5"/>
    <w:rsid w:val="00577ED7"/>
    <w:rsid w:val="00577F52"/>
    <w:rsid w:val="0058004A"/>
    <w:rsid w:val="00580233"/>
    <w:rsid w:val="005803E6"/>
    <w:rsid w:val="0058062A"/>
    <w:rsid w:val="005806AB"/>
    <w:rsid w:val="0058096E"/>
    <w:rsid w:val="00580AB0"/>
    <w:rsid w:val="00580BF6"/>
    <w:rsid w:val="00580D5E"/>
    <w:rsid w:val="00580E9C"/>
    <w:rsid w:val="00580EC7"/>
    <w:rsid w:val="00580EEB"/>
    <w:rsid w:val="0058159A"/>
    <w:rsid w:val="0058164C"/>
    <w:rsid w:val="00581834"/>
    <w:rsid w:val="00581A32"/>
    <w:rsid w:val="00581A55"/>
    <w:rsid w:val="00581B82"/>
    <w:rsid w:val="00581C20"/>
    <w:rsid w:val="00581DAD"/>
    <w:rsid w:val="00581E50"/>
    <w:rsid w:val="00582136"/>
    <w:rsid w:val="0058215B"/>
    <w:rsid w:val="00582192"/>
    <w:rsid w:val="0058232C"/>
    <w:rsid w:val="0058237C"/>
    <w:rsid w:val="005823EA"/>
    <w:rsid w:val="00582494"/>
    <w:rsid w:val="0058264C"/>
    <w:rsid w:val="0058283B"/>
    <w:rsid w:val="005828BA"/>
    <w:rsid w:val="00582923"/>
    <w:rsid w:val="00582BF9"/>
    <w:rsid w:val="00582C0F"/>
    <w:rsid w:val="00582DC7"/>
    <w:rsid w:val="00582DD6"/>
    <w:rsid w:val="00582FD7"/>
    <w:rsid w:val="00583085"/>
    <w:rsid w:val="005831FC"/>
    <w:rsid w:val="00583313"/>
    <w:rsid w:val="005836A9"/>
    <w:rsid w:val="00583735"/>
    <w:rsid w:val="00583C8C"/>
    <w:rsid w:val="00583EB3"/>
    <w:rsid w:val="0058405F"/>
    <w:rsid w:val="00584076"/>
    <w:rsid w:val="00584262"/>
    <w:rsid w:val="005842A6"/>
    <w:rsid w:val="00584491"/>
    <w:rsid w:val="00584498"/>
    <w:rsid w:val="0058454D"/>
    <w:rsid w:val="005845F8"/>
    <w:rsid w:val="00584B59"/>
    <w:rsid w:val="00584DCB"/>
    <w:rsid w:val="00584DF5"/>
    <w:rsid w:val="00585077"/>
    <w:rsid w:val="005851DF"/>
    <w:rsid w:val="0058547B"/>
    <w:rsid w:val="00585596"/>
    <w:rsid w:val="005856E7"/>
    <w:rsid w:val="0058573D"/>
    <w:rsid w:val="00585980"/>
    <w:rsid w:val="005859B0"/>
    <w:rsid w:val="00585AF4"/>
    <w:rsid w:val="00585D1D"/>
    <w:rsid w:val="00585D46"/>
    <w:rsid w:val="00585D82"/>
    <w:rsid w:val="00585D88"/>
    <w:rsid w:val="00586177"/>
    <w:rsid w:val="00586322"/>
    <w:rsid w:val="00586496"/>
    <w:rsid w:val="005864D6"/>
    <w:rsid w:val="00586605"/>
    <w:rsid w:val="00586686"/>
    <w:rsid w:val="005868DE"/>
    <w:rsid w:val="00586A63"/>
    <w:rsid w:val="00586A6C"/>
    <w:rsid w:val="00586AEA"/>
    <w:rsid w:val="00586C6B"/>
    <w:rsid w:val="00586D75"/>
    <w:rsid w:val="00586E0E"/>
    <w:rsid w:val="00586F3C"/>
    <w:rsid w:val="00587271"/>
    <w:rsid w:val="005873FD"/>
    <w:rsid w:val="00587424"/>
    <w:rsid w:val="005875C6"/>
    <w:rsid w:val="00587743"/>
    <w:rsid w:val="00587770"/>
    <w:rsid w:val="0058777E"/>
    <w:rsid w:val="005877AC"/>
    <w:rsid w:val="00587861"/>
    <w:rsid w:val="005878E0"/>
    <w:rsid w:val="005879B3"/>
    <w:rsid w:val="00587E26"/>
    <w:rsid w:val="00587E6B"/>
    <w:rsid w:val="00590334"/>
    <w:rsid w:val="00590468"/>
    <w:rsid w:val="00590529"/>
    <w:rsid w:val="00590669"/>
    <w:rsid w:val="005907AD"/>
    <w:rsid w:val="00590A8E"/>
    <w:rsid w:val="00590BA6"/>
    <w:rsid w:val="00590CDB"/>
    <w:rsid w:val="00590DB1"/>
    <w:rsid w:val="005910A8"/>
    <w:rsid w:val="005910B0"/>
    <w:rsid w:val="00591150"/>
    <w:rsid w:val="0059119B"/>
    <w:rsid w:val="005912D2"/>
    <w:rsid w:val="005913E7"/>
    <w:rsid w:val="00591656"/>
    <w:rsid w:val="00591B3B"/>
    <w:rsid w:val="00591BAD"/>
    <w:rsid w:val="00591BFF"/>
    <w:rsid w:val="00591C54"/>
    <w:rsid w:val="00591D57"/>
    <w:rsid w:val="00592002"/>
    <w:rsid w:val="00592382"/>
    <w:rsid w:val="005923EA"/>
    <w:rsid w:val="005926FB"/>
    <w:rsid w:val="0059270F"/>
    <w:rsid w:val="005927ED"/>
    <w:rsid w:val="005928C3"/>
    <w:rsid w:val="00592A94"/>
    <w:rsid w:val="00592AD4"/>
    <w:rsid w:val="00592DB1"/>
    <w:rsid w:val="00592F00"/>
    <w:rsid w:val="00592F33"/>
    <w:rsid w:val="005931A5"/>
    <w:rsid w:val="0059323F"/>
    <w:rsid w:val="005932EE"/>
    <w:rsid w:val="005935C6"/>
    <w:rsid w:val="00593649"/>
    <w:rsid w:val="005937D8"/>
    <w:rsid w:val="005938EF"/>
    <w:rsid w:val="005939FC"/>
    <w:rsid w:val="00593B09"/>
    <w:rsid w:val="00593CCD"/>
    <w:rsid w:val="005943B1"/>
    <w:rsid w:val="00594425"/>
    <w:rsid w:val="0059463C"/>
    <w:rsid w:val="00594830"/>
    <w:rsid w:val="00594BAD"/>
    <w:rsid w:val="00595112"/>
    <w:rsid w:val="00595390"/>
    <w:rsid w:val="00595407"/>
    <w:rsid w:val="00595418"/>
    <w:rsid w:val="00595834"/>
    <w:rsid w:val="00595A6F"/>
    <w:rsid w:val="00595CBA"/>
    <w:rsid w:val="00595F4C"/>
    <w:rsid w:val="005960F7"/>
    <w:rsid w:val="0059628B"/>
    <w:rsid w:val="0059633B"/>
    <w:rsid w:val="005965EC"/>
    <w:rsid w:val="005966B7"/>
    <w:rsid w:val="00596743"/>
    <w:rsid w:val="00596836"/>
    <w:rsid w:val="005969B7"/>
    <w:rsid w:val="005969CB"/>
    <w:rsid w:val="00596A0C"/>
    <w:rsid w:val="00596A7B"/>
    <w:rsid w:val="00596E39"/>
    <w:rsid w:val="00596EAD"/>
    <w:rsid w:val="00596FEE"/>
    <w:rsid w:val="00597003"/>
    <w:rsid w:val="0059728E"/>
    <w:rsid w:val="005972F7"/>
    <w:rsid w:val="005977CB"/>
    <w:rsid w:val="005978A7"/>
    <w:rsid w:val="00597BDF"/>
    <w:rsid w:val="00597DF9"/>
    <w:rsid w:val="00597F32"/>
    <w:rsid w:val="0059F710"/>
    <w:rsid w:val="005A0062"/>
    <w:rsid w:val="005A00BE"/>
    <w:rsid w:val="005A0397"/>
    <w:rsid w:val="005A04B8"/>
    <w:rsid w:val="005A0579"/>
    <w:rsid w:val="005A05E8"/>
    <w:rsid w:val="005A068C"/>
    <w:rsid w:val="005A0717"/>
    <w:rsid w:val="005A0732"/>
    <w:rsid w:val="005A07EE"/>
    <w:rsid w:val="005A07FF"/>
    <w:rsid w:val="005A0A61"/>
    <w:rsid w:val="005A0A69"/>
    <w:rsid w:val="005A0BED"/>
    <w:rsid w:val="005A0EC0"/>
    <w:rsid w:val="005A117C"/>
    <w:rsid w:val="005A11DF"/>
    <w:rsid w:val="005A1401"/>
    <w:rsid w:val="005A1A01"/>
    <w:rsid w:val="005A1EAE"/>
    <w:rsid w:val="005A20F7"/>
    <w:rsid w:val="005A2290"/>
    <w:rsid w:val="005A24E7"/>
    <w:rsid w:val="005A28DE"/>
    <w:rsid w:val="005A2944"/>
    <w:rsid w:val="005A2F80"/>
    <w:rsid w:val="005A30CB"/>
    <w:rsid w:val="005A31CA"/>
    <w:rsid w:val="005A3331"/>
    <w:rsid w:val="005A34A5"/>
    <w:rsid w:val="005A3582"/>
    <w:rsid w:val="005A36A1"/>
    <w:rsid w:val="005A37A1"/>
    <w:rsid w:val="005A3D6E"/>
    <w:rsid w:val="005A3E32"/>
    <w:rsid w:val="005A3E35"/>
    <w:rsid w:val="005A3EDB"/>
    <w:rsid w:val="005A46C5"/>
    <w:rsid w:val="005A4849"/>
    <w:rsid w:val="005A492C"/>
    <w:rsid w:val="005A4970"/>
    <w:rsid w:val="005A4BC0"/>
    <w:rsid w:val="005A4BEA"/>
    <w:rsid w:val="005A4E33"/>
    <w:rsid w:val="005A4E95"/>
    <w:rsid w:val="005A4ECB"/>
    <w:rsid w:val="005A50A7"/>
    <w:rsid w:val="005A5116"/>
    <w:rsid w:val="005A519F"/>
    <w:rsid w:val="005A51D9"/>
    <w:rsid w:val="005A5500"/>
    <w:rsid w:val="005A5799"/>
    <w:rsid w:val="005A5B35"/>
    <w:rsid w:val="005A5F63"/>
    <w:rsid w:val="005A606D"/>
    <w:rsid w:val="005A68AD"/>
    <w:rsid w:val="005A6A89"/>
    <w:rsid w:val="005A6A9D"/>
    <w:rsid w:val="005A6DB8"/>
    <w:rsid w:val="005A6F27"/>
    <w:rsid w:val="005A7491"/>
    <w:rsid w:val="005A7602"/>
    <w:rsid w:val="005A76D7"/>
    <w:rsid w:val="005A788E"/>
    <w:rsid w:val="005A7963"/>
    <w:rsid w:val="005A7A36"/>
    <w:rsid w:val="005A7B0E"/>
    <w:rsid w:val="005A7BB9"/>
    <w:rsid w:val="005A7BC0"/>
    <w:rsid w:val="005A7C95"/>
    <w:rsid w:val="005A7CA1"/>
    <w:rsid w:val="005A7CBA"/>
    <w:rsid w:val="005A7D33"/>
    <w:rsid w:val="005A7D41"/>
    <w:rsid w:val="005B007A"/>
    <w:rsid w:val="005B033A"/>
    <w:rsid w:val="005B0404"/>
    <w:rsid w:val="005B0758"/>
    <w:rsid w:val="005B0853"/>
    <w:rsid w:val="005B0981"/>
    <w:rsid w:val="005B0A2E"/>
    <w:rsid w:val="005B0ADE"/>
    <w:rsid w:val="005B0B6E"/>
    <w:rsid w:val="005B0B6F"/>
    <w:rsid w:val="005B0D77"/>
    <w:rsid w:val="005B0DF3"/>
    <w:rsid w:val="005B1184"/>
    <w:rsid w:val="005B14D9"/>
    <w:rsid w:val="005B1714"/>
    <w:rsid w:val="005B182C"/>
    <w:rsid w:val="005B18C8"/>
    <w:rsid w:val="005B1901"/>
    <w:rsid w:val="005B1ADA"/>
    <w:rsid w:val="005B1DA1"/>
    <w:rsid w:val="005B1DCC"/>
    <w:rsid w:val="005B1DD0"/>
    <w:rsid w:val="005B1DDE"/>
    <w:rsid w:val="005B1E52"/>
    <w:rsid w:val="005B1EC7"/>
    <w:rsid w:val="005B215D"/>
    <w:rsid w:val="005B216C"/>
    <w:rsid w:val="005B23F8"/>
    <w:rsid w:val="005B2681"/>
    <w:rsid w:val="005B26EE"/>
    <w:rsid w:val="005B277B"/>
    <w:rsid w:val="005B27E8"/>
    <w:rsid w:val="005B284F"/>
    <w:rsid w:val="005B28E9"/>
    <w:rsid w:val="005B2F9D"/>
    <w:rsid w:val="005B3012"/>
    <w:rsid w:val="005B30C4"/>
    <w:rsid w:val="005B3105"/>
    <w:rsid w:val="005B341E"/>
    <w:rsid w:val="005B34FB"/>
    <w:rsid w:val="005B37C7"/>
    <w:rsid w:val="005B387D"/>
    <w:rsid w:val="005B396A"/>
    <w:rsid w:val="005B3D11"/>
    <w:rsid w:val="005B3E5F"/>
    <w:rsid w:val="005B3FA6"/>
    <w:rsid w:val="005B4048"/>
    <w:rsid w:val="005B41DE"/>
    <w:rsid w:val="005B447C"/>
    <w:rsid w:val="005B45B1"/>
    <w:rsid w:val="005B493F"/>
    <w:rsid w:val="005B49CD"/>
    <w:rsid w:val="005B4B3F"/>
    <w:rsid w:val="005B4BA3"/>
    <w:rsid w:val="005B5083"/>
    <w:rsid w:val="005B5099"/>
    <w:rsid w:val="005B51A6"/>
    <w:rsid w:val="005B523D"/>
    <w:rsid w:val="005B52CB"/>
    <w:rsid w:val="005B537F"/>
    <w:rsid w:val="005B588A"/>
    <w:rsid w:val="005B59A4"/>
    <w:rsid w:val="005B59CF"/>
    <w:rsid w:val="005B5E2A"/>
    <w:rsid w:val="005B5E68"/>
    <w:rsid w:val="005B62BC"/>
    <w:rsid w:val="005B63E7"/>
    <w:rsid w:val="005B65AA"/>
    <w:rsid w:val="005B663E"/>
    <w:rsid w:val="005B6701"/>
    <w:rsid w:val="005B6719"/>
    <w:rsid w:val="005B677E"/>
    <w:rsid w:val="005B6B52"/>
    <w:rsid w:val="005B7079"/>
    <w:rsid w:val="005B729B"/>
    <w:rsid w:val="005B75F9"/>
    <w:rsid w:val="005B7683"/>
    <w:rsid w:val="005B7786"/>
    <w:rsid w:val="005B78D0"/>
    <w:rsid w:val="005B7909"/>
    <w:rsid w:val="005B7AB3"/>
    <w:rsid w:val="005B7D6C"/>
    <w:rsid w:val="005C01EA"/>
    <w:rsid w:val="005C02A4"/>
    <w:rsid w:val="005C0460"/>
    <w:rsid w:val="005C0517"/>
    <w:rsid w:val="005C071F"/>
    <w:rsid w:val="005C0737"/>
    <w:rsid w:val="005C081B"/>
    <w:rsid w:val="005C0994"/>
    <w:rsid w:val="005C0C16"/>
    <w:rsid w:val="005C10B7"/>
    <w:rsid w:val="005C111D"/>
    <w:rsid w:val="005C11F7"/>
    <w:rsid w:val="005C1343"/>
    <w:rsid w:val="005C135F"/>
    <w:rsid w:val="005C1506"/>
    <w:rsid w:val="005C15B6"/>
    <w:rsid w:val="005C1822"/>
    <w:rsid w:val="005C18C6"/>
    <w:rsid w:val="005C1AB0"/>
    <w:rsid w:val="005C1BD6"/>
    <w:rsid w:val="005C1C03"/>
    <w:rsid w:val="005C1CE6"/>
    <w:rsid w:val="005C1EF9"/>
    <w:rsid w:val="005C1F14"/>
    <w:rsid w:val="005C2079"/>
    <w:rsid w:val="005C20D2"/>
    <w:rsid w:val="005C2103"/>
    <w:rsid w:val="005C2242"/>
    <w:rsid w:val="005C23C5"/>
    <w:rsid w:val="005C2459"/>
    <w:rsid w:val="005C27FF"/>
    <w:rsid w:val="005C2CC2"/>
    <w:rsid w:val="005C2F42"/>
    <w:rsid w:val="005C3272"/>
    <w:rsid w:val="005C32FE"/>
    <w:rsid w:val="005C365D"/>
    <w:rsid w:val="005C37F8"/>
    <w:rsid w:val="005C3877"/>
    <w:rsid w:val="005C38E4"/>
    <w:rsid w:val="005C395B"/>
    <w:rsid w:val="005C3B16"/>
    <w:rsid w:val="005C3EC6"/>
    <w:rsid w:val="005C3F94"/>
    <w:rsid w:val="005C4005"/>
    <w:rsid w:val="005C4010"/>
    <w:rsid w:val="005C402B"/>
    <w:rsid w:val="005C4237"/>
    <w:rsid w:val="005C43E7"/>
    <w:rsid w:val="005C4441"/>
    <w:rsid w:val="005C4512"/>
    <w:rsid w:val="005C452A"/>
    <w:rsid w:val="005C4B85"/>
    <w:rsid w:val="005C4BB7"/>
    <w:rsid w:val="005C4BD7"/>
    <w:rsid w:val="005C4C2A"/>
    <w:rsid w:val="005C4E19"/>
    <w:rsid w:val="005C4F50"/>
    <w:rsid w:val="005C4FDD"/>
    <w:rsid w:val="005C503A"/>
    <w:rsid w:val="005C504F"/>
    <w:rsid w:val="005C508D"/>
    <w:rsid w:val="005C50C6"/>
    <w:rsid w:val="005C513D"/>
    <w:rsid w:val="005C5200"/>
    <w:rsid w:val="005C559A"/>
    <w:rsid w:val="005C57E8"/>
    <w:rsid w:val="005C5818"/>
    <w:rsid w:val="005C58F1"/>
    <w:rsid w:val="005C5909"/>
    <w:rsid w:val="005C59AD"/>
    <w:rsid w:val="005C5AEC"/>
    <w:rsid w:val="005C5BF1"/>
    <w:rsid w:val="005C5FE3"/>
    <w:rsid w:val="005C603A"/>
    <w:rsid w:val="005C6053"/>
    <w:rsid w:val="005C6516"/>
    <w:rsid w:val="005C67B7"/>
    <w:rsid w:val="005C682F"/>
    <w:rsid w:val="005C69C0"/>
    <w:rsid w:val="005C6AFF"/>
    <w:rsid w:val="005C6B34"/>
    <w:rsid w:val="005C6BEF"/>
    <w:rsid w:val="005C6CB1"/>
    <w:rsid w:val="005C6ECD"/>
    <w:rsid w:val="005C6F61"/>
    <w:rsid w:val="005C6FFA"/>
    <w:rsid w:val="005C7071"/>
    <w:rsid w:val="005C714E"/>
    <w:rsid w:val="005C71CA"/>
    <w:rsid w:val="005C723D"/>
    <w:rsid w:val="005C7281"/>
    <w:rsid w:val="005C76AF"/>
    <w:rsid w:val="005C774F"/>
    <w:rsid w:val="005C7B63"/>
    <w:rsid w:val="005C7BA5"/>
    <w:rsid w:val="005C7D49"/>
    <w:rsid w:val="005C7EF7"/>
    <w:rsid w:val="005C7F13"/>
    <w:rsid w:val="005C7FD5"/>
    <w:rsid w:val="005C7FD8"/>
    <w:rsid w:val="005D007A"/>
    <w:rsid w:val="005D0091"/>
    <w:rsid w:val="005D0231"/>
    <w:rsid w:val="005D024A"/>
    <w:rsid w:val="005D047E"/>
    <w:rsid w:val="005D049A"/>
    <w:rsid w:val="005D04E2"/>
    <w:rsid w:val="005D06A5"/>
    <w:rsid w:val="005D090C"/>
    <w:rsid w:val="005D09C1"/>
    <w:rsid w:val="005D0AEC"/>
    <w:rsid w:val="005D0BF5"/>
    <w:rsid w:val="005D0CE4"/>
    <w:rsid w:val="005D0E86"/>
    <w:rsid w:val="005D1108"/>
    <w:rsid w:val="005D1130"/>
    <w:rsid w:val="005D1341"/>
    <w:rsid w:val="005D1384"/>
    <w:rsid w:val="005D13CC"/>
    <w:rsid w:val="005D1451"/>
    <w:rsid w:val="005D155B"/>
    <w:rsid w:val="005D19AA"/>
    <w:rsid w:val="005D1A71"/>
    <w:rsid w:val="005D1BB2"/>
    <w:rsid w:val="005D1BF1"/>
    <w:rsid w:val="005D1C88"/>
    <w:rsid w:val="005D1E77"/>
    <w:rsid w:val="005D22EF"/>
    <w:rsid w:val="005D2350"/>
    <w:rsid w:val="005D23B0"/>
    <w:rsid w:val="005D24B9"/>
    <w:rsid w:val="005D2614"/>
    <w:rsid w:val="005D2784"/>
    <w:rsid w:val="005D27B6"/>
    <w:rsid w:val="005D27CE"/>
    <w:rsid w:val="005D2B75"/>
    <w:rsid w:val="005D2D10"/>
    <w:rsid w:val="005D32DE"/>
    <w:rsid w:val="005D3307"/>
    <w:rsid w:val="005D33C5"/>
    <w:rsid w:val="005D347B"/>
    <w:rsid w:val="005D3574"/>
    <w:rsid w:val="005D3792"/>
    <w:rsid w:val="005D38EA"/>
    <w:rsid w:val="005D3A2C"/>
    <w:rsid w:val="005D3D43"/>
    <w:rsid w:val="005D3DED"/>
    <w:rsid w:val="005D3E3A"/>
    <w:rsid w:val="005D3EDD"/>
    <w:rsid w:val="005D3F21"/>
    <w:rsid w:val="005D3F8E"/>
    <w:rsid w:val="005D3FB5"/>
    <w:rsid w:val="005D3FC3"/>
    <w:rsid w:val="005D4585"/>
    <w:rsid w:val="005D460B"/>
    <w:rsid w:val="005D4684"/>
    <w:rsid w:val="005D475F"/>
    <w:rsid w:val="005D4927"/>
    <w:rsid w:val="005D4C69"/>
    <w:rsid w:val="005D4CD2"/>
    <w:rsid w:val="005D4E28"/>
    <w:rsid w:val="005D4FD4"/>
    <w:rsid w:val="005D5181"/>
    <w:rsid w:val="005D5192"/>
    <w:rsid w:val="005D55DA"/>
    <w:rsid w:val="005D562C"/>
    <w:rsid w:val="005D59D5"/>
    <w:rsid w:val="005D5AD4"/>
    <w:rsid w:val="005D5B6C"/>
    <w:rsid w:val="005D5CD9"/>
    <w:rsid w:val="005D5E82"/>
    <w:rsid w:val="005D63B7"/>
    <w:rsid w:val="005D63D3"/>
    <w:rsid w:val="005D6993"/>
    <w:rsid w:val="005D6ABB"/>
    <w:rsid w:val="005D6D37"/>
    <w:rsid w:val="005D6D64"/>
    <w:rsid w:val="005D6E5E"/>
    <w:rsid w:val="005D6F93"/>
    <w:rsid w:val="005D706F"/>
    <w:rsid w:val="005D7263"/>
    <w:rsid w:val="005D726A"/>
    <w:rsid w:val="005D7362"/>
    <w:rsid w:val="005D741B"/>
    <w:rsid w:val="005D769E"/>
    <w:rsid w:val="005D76A0"/>
    <w:rsid w:val="005D7742"/>
    <w:rsid w:val="005D7B1D"/>
    <w:rsid w:val="005D7E0B"/>
    <w:rsid w:val="005E0331"/>
    <w:rsid w:val="005E048A"/>
    <w:rsid w:val="005E05D2"/>
    <w:rsid w:val="005E0670"/>
    <w:rsid w:val="005E078B"/>
    <w:rsid w:val="005E088F"/>
    <w:rsid w:val="005E089C"/>
    <w:rsid w:val="005E08D5"/>
    <w:rsid w:val="005E093F"/>
    <w:rsid w:val="005E09E9"/>
    <w:rsid w:val="005E0C06"/>
    <w:rsid w:val="005E0CCC"/>
    <w:rsid w:val="005E0EFE"/>
    <w:rsid w:val="005E13A9"/>
    <w:rsid w:val="005E145B"/>
    <w:rsid w:val="005E14A0"/>
    <w:rsid w:val="005E14E3"/>
    <w:rsid w:val="005E1669"/>
    <w:rsid w:val="005E16AD"/>
    <w:rsid w:val="005E16CE"/>
    <w:rsid w:val="005E177E"/>
    <w:rsid w:val="005E183C"/>
    <w:rsid w:val="005E1968"/>
    <w:rsid w:val="005E19AF"/>
    <w:rsid w:val="005E19FA"/>
    <w:rsid w:val="005E1A1E"/>
    <w:rsid w:val="005E1BBF"/>
    <w:rsid w:val="005E1C77"/>
    <w:rsid w:val="005E1E43"/>
    <w:rsid w:val="005E22DB"/>
    <w:rsid w:val="005E24FF"/>
    <w:rsid w:val="005E2994"/>
    <w:rsid w:val="005E29AE"/>
    <w:rsid w:val="005E29F2"/>
    <w:rsid w:val="005E2A4A"/>
    <w:rsid w:val="005E2CD4"/>
    <w:rsid w:val="005E2D68"/>
    <w:rsid w:val="005E30ED"/>
    <w:rsid w:val="005E32BB"/>
    <w:rsid w:val="005E340F"/>
    <w:rsid w:val="005E3479"/>
    <w:rsid w:val="005E362C"/>
    <w:rsid w:val="005E39F4"/>
    <w:rsid w:val="005E3A7A"/>
    <w:rsid w:val="005E3B29"/>
    <w:rsid w:val="005E3BDD"/>
    <w:rsid w:val="005E3CFB"/>
    <w:rsid w:val="005E3D10"/>
    <w:rsid w:val="005E3E8A"/>
    <w:rsid w:val="005E40BE"/>
    <w:rsid w:val="005E41E6"/>
    <w:rsid w:val="005E436C"/>
    <w:rsid w:val="005E44C3"/>
    <w:rsid w:val="005E4903"/>
    <w:rsid w:val="005E4D01"/>
    <w:rsid w:val="005E4F86"/>
    <w:rsid w:val="005E5043"/>
    <w:rsid w:val="005E5062"/>
    <w:rsid w:val="005E519C"/>
    <w:rsid w:val="005E5628"/>
    <w:rsid w:val="005E5930"/>
    <w:rsid w:val="005E5AA6"/>
    <w:rsid w:val="005E5E27"/>
    <w:rsid w:val="005E601F"/>
    <w:rsid w:val="005E6048"/>
    <w:rsid w:val="005E61AB"/>
    <w:rsid w:val="005E64A6"/>
    <w:rsid w:val="005E662D"/>
    <w:rsid w:val="005E6633"/>
    <w:rsid w:val="005E679A"/>
    <w:rsid w:val="005E6AC7"/>
    <w:rsid w:val="005E6BED"/>
    <w:rsid w:val="005E6DB3"/>
    <w:rsid w:val="005E6E1B"/>
    <w:rsid w:val="005E6F31"/>
    <w:rsid w:val="005E6FD8"/>
    <w:rsid w:val="005E712A"/>
    <w:rsid w:val="005E7600"/>
    <w:rsid w:val="005E767E"/>
    <w:rsid w:val="005E7690"/>
    <w:rsid w:val="005E78BB"/>
    <w:rsid w:val="005E792F"/>
    <w:rsid w:val="005E7B60"/>
    <w:rsid w:val="005E7C0A"/>
    <w:rsid w:val="005F007F"/>
    <w:rsid w:val="005F0082"/>
    <w:rsid w:val="005F00E4"/>
    <w:rsid w:val="005F09EF"/>
    <w:rsid w:val="005F0A95"/>
    <w:rsid w:val="005F0CC2"/>
    <w:rsid w:val="005F0CEC"/>
    <w:rsid w:val="005F0DEE"/>
    <w:rsid w:val="005F0E31"/>
    <w:rsid w:val="005F11DA"/>
    <w:rsid w:val="005F15DF"/>
    <w:rsid w:val="005F1882"/>
    <w:rsid w:val="005F18DF"/>
    <w:rsid w:val="005F1997"/>
    <w:rsid w:val="005F1B41"/>
    <w:rsid w:val="005F1C86"/>
    <w:rsid w:val="005F1CB6"/>
    <w:rsid w:val="005F1D34"/>
    <w:rsid w:val="005F219C"/>
    <w:rsid w:val="005F2535"/>
    <w:rsid w:val="005F2678"/>
    <w:rsid w:val="005F273E"/>
    <w:rsid w:val="005F27D5"/>
    <w:rsid w:val="005F2F19"/>
    <w:rsid w:val="005F2F32"/>
    <w:rsid w:val="005F30BB"/>
    <w:rsid w:val="005F30DE"/>
    <w:rsid w:val="005F3186"/>
    <w:rsid w:val="005F3209"/>
    <w:rsid w:val="005F330F"/>
    <w:rsid w:val="005F38F0"/>
    <w:rsid w:val="005F39F8"/>
    <w:rsid w:val="005F3A57"/>
    <w:rsid w:val="005F3C06"/>
    <w:rsid w:val="005F3D24"/>
    <w:rsid w:val="005F3D64"/>
    <w:rsid w:val="005F3E1B"/>
    <w:rsid w:val="005F3E38"/>
    <w:rsid w:val="005F3E6D"/>
    <w:rsid w:val="005F3E72"/>
    <w:rsid w:val="005F403D"/>
    <w:rsid w:val="005F4414"/>
    <w:rsid w:val="005F47BF"/>
    <w:rsid w:val="005F4802"/>
    <w:rsid w:val="005F4876"/>
    <w:rsid w:val="005F48A6"/>
    <w:rsid w:val="005F4935"/>
    <w:rsid w:val="005F4D53"/>
    <w:rsid w:val="005F4D6B"/>
    <w:rsid w:val="005F4DA0"/>
    <w:rsid w:val="005F4E06"/>
    <w:rsid w:val="005F4EF9"/>
    <w:rsid w:val="005F5006"/>
    <w:rsid w:val="005F5056"/>
    <w:rsid w:val="005F5092"/>
    <w:rsid w:val="005F544C"/>
    <w:rsid w:val="005F5556"/>
    <w:rsid w:val="005F5898"/>
    <w:rsid w:val="005F5AAA"/>
    <w:rsid w:val="005F5B7B"/>
    <w:rsid w:val="005F6098"/>
    <w:rsid w:val="005F6119"/>
    <w:rsid w:val="005F611F"/>
    <w:rsid w:val="005F6169"/>
    <w:rsid w:val="005F618F"/>
    <w:rsid w:val="005F6245"/>
    <w:rsid w:val="005F645D"/>
    <w:rsid w:val="005F64E4"/>
    <w:rsid w:val="005F6633"/>
    <w:rsid w:val="005F6733"/>
    <w:rsid w:val="005F67F0"/>
    <w:rsid w:val="005F695E"/>
    <w:rsid w:val="005F6A93"/>
    <w:rsid w:val="005F6B44"/>
    <w:rsid w:val="005F6D33"/>
    <w:rsid w:val="005F6D50"/>
    <w:rsid w:val="005F6E11"/>
    <w:rsid w:val="005F6EE8"/>
    <w:rsid w:val="005F715E"/>
    <w:rsid w:val="005F71C2"/>
    <w:rsid w:val="005F72C5"/>
    <w:rsid w:val="005F72DD"/>
    <w:rsid w:val="005F737E"/>
    <w:rsid w:val="005F73E3"/>
    <w:rsid w:val="005F748A"/>
    <w:rsid w:val="005F74F6"/>
    <w:rsid w:val="005F751F"/>
    <w:rsid w:val="005F78AD"/>
    <w:rsid w:val="005F7976"/>
    <w:rsid w:val="005F79ED"/>
    <w:rsid w:val="005F7AA9"/>
    <w:rsid w:val="005F7CEF"/>
    <w:rsid w:val="0060012B"/>
    <w:rsid w:val="0060025F"/>
    <w:rsid w:val="006005CE"/>
    <w:rsid w:val="006005E3"/>
    <w:rsid w:val="00600705"/>
    <w:rsid w:val="0060071C"/>
    <w:rsid w:val="0060083C"/>
    <w:rsid w:val="0060093E"/>
    <w:rsid w:val="00600C64"/>
    <w:rsid w:val="00600C87"/>
    <w:rsid w:val="00600D88"/>
    <w:rsid w:val="00600FAF"/>
    <w:rsid w:val="00600FED"/>
    <w:rsid w:val="00601167"/>
    <w:rsid w:val="00601295"/>
    <w:rsid w:val="006013A7"/>
    <w:rsid w:val="006013E2"/>
    <w:rsid w:val="00601450"/>
    <w:rsid w:val="0060150E"/>
    <w:rsid w:val="00601650"/>
    <w:rsid w:val="006019D8"/>
    <w:rsid w:val="00601BC0"/>
    <w:rsid w:val="00601F9C"/>
    <w:rsid w:val="00602186"/>
    <w:rsid w:val="006021C7"/>
    <w:rsid w:val="00602262"/>
    <w:rsid w:val="0060257A"/>
    <w:rsid w:val="00602799"/>
    <w:rsid w:val="0060286C"/>
    <w:rsid w:val="00602B35"/>
    <w:rsid w:val="00602D9C"/>
    <w:rsid w:val="00602DBA"/>
    <w:rsid w:val="006030EA"/>
    <w:rsid w:val="00603521"/>
    <w:rsid w:val="006036C4"/>
    <w:rsid w:val="00603701"/>
    <w:rsid w:val="00603722"/>
    <w:rsid w:val="00603912"/>
    <w:rsid w:val="00603A4A"/>
    <w:rsid w:val="0060412E"/>
    <w:rsid w:val="006043A9"/>
    <w:rsid w:val="0060458B"/>
    <w:rsid w:val="006045A5"/>
    <w:rsid w:val="006046A2"/>
    <w:rsid w:val="00604749"/>
    <w:rsid w:val="006047A0"/>
    <w:rsid w:val="00604807"/>
    <w:rsid w:val="006048DB"/>
    <w:rsid w:val="00604C0C"/>
    <w:rsid w:val="00604EEF"/>
    <w:rsid w:val="00604F7F"/>
    <w:rsid w:val="00605005"/>
    <w:rsid w:val="006051A2"/>
    <w:rsid w:val="0060532D"/>
    <w:rsid w:val="006053F8"/>
    <w:rsid w:val="006055F2"/>
    <w:rsid w:val="006056C0"/>
    <w:rsid w:val="00605836"/>
    <w:rsid w:val="00605A51"/>
    <w:rsid w:val="00605AFD"/>
    <w:rsid w:val="00605F14"/>
    <w:rsid w:val="006060D7"/>
    <w:rsid w:val="00606703"/>
    <w:rsid w:val="00606877"/>
    <w:rsid w:val="00606CC3"/>
    <w:rsid w:val="00607058"/>
    <w:rsid w:val="00607446"/>
    <w:rsid w:val="00607542"/>
    <w:rsid w:val="0060760B"/>
    <w:rsid w:val="00607611"/>
    <w:rsid w:val="006076EA"/>
    <w:rsid w:val="0060787B"/>
    <w:rsid w:val="006078CC"/>
    <w:rsid w:val="00607C80"/>
    <w:rsid w:val="00607D85"/>
    <w:rsid w:val="00607E71"/>
    <w:rsid w:val="00610085"/>
    <w:rsid w:val="00610095"/>
    <w:rsid w:val="00610304"/>
    <w:rsid w:val="0061042A"/>
    <w:rsid w:val="00610669"/>
    <w:rsid w:val="006106C9"/>
    <w:rsid w:val="00610812"/>
    <w:rsid w:val="00610881"/>
    <w:rsid w:val="00610968"/>
    <w:rsid w:val="00610C58"/>
    <w:rsid w:val="00610D50"/>
    <w:rsid w:val="00610D6E"/>
    <w:rsid w:val="006110B0"/>
    <w:rsid w:val="006112A5"/>
    <w:rsid w:val="006113EC"/>
    <w:rsid w:val="00611638"/>
    <w:rsid w:val="00611A88"/>
    <w:rsid w:val="00611C5A"/>
    <w:rsid w:val="00611EE1"/>
    <w:rsid w:val="00611F83"/>
    <w:rsid w:val="00612083"/>
    <w:rsid w:val="006123C3"/>
    <w:rsid w:val="006123D4"/>
    <w:rsid w:val="006125E3"/>
    <w:rsid w:val="00612AC2"/>
    <w:rsid w:val="00612AE8"/>
    <w:rsid w:val="00612BC2"/>
    <w:rsid w:val="00612E29"/>
    <w:rsid w:val="00612EE2"/>
    <w:rsid w:val="00612F9D"/>
    <w:rsid w:val="006133DC"/>
    <w:rsid w:val="00613A40"/>
    <w:rsid w:val="00613BD2"/>
    <w:rsid w:val="00614391"/>
    <w:rsid w:val="00614418"/>
    <w:rsid w:val="0061445B"/>
    <w:rsid w:val="006144F4"/>
    <w:rsid w:val="006144FC"/>
    <w:rsid w:val="0061450F"/>
    <w:rsid w:val="00614578"/>
    <w:rsid w:val="006145C0"/>
    <w:rsid w:val="00614A38"/>
    <w:rsid w:val="00614C68"/>
    <w:rsid w:val="00614D08"/>
    <w:rsid w:val="00614F29"/>
    <w:rsid w:val="00615093"/>
    <w:rsid w:val="006150C7"/>
    <w:rsid w:val="0061527D"/>
    <w:rsid w:val="00615520"/>
    <w:rsid w:val="00615584"/>
    <w:rsid w:val="00615623"/>
    <w:rsid w:val="0061580F"/>
    <w:rsid w:val="006158CF"/>
    <w:rsid w:val="00615AC2"/>
    <w:rsid w:val="00615EF9"/>
    <w:rsid w:val="00615F4E"/>
    <w:rsid w:val="00615F7B"/>
    <w:rsid w:val="006162AB"/>
    <w:rsid w:val="006162E7"/>
    <w:rsid w:val="0061635F"/>
    <w:rsid w:val="006164AE"/>
    <w:rsid w:val="006164F2"/>
    <w:rsid w:val="00616604"/>
    <w:rsid w:val="0061673F"/>
    <w:rsid w:val="00616826"/>
    <w:rsid w:val="00616BFC"/>
    <w:rsid w:val="00616D32"/>
    <w:rsid w:val="00616F66"/>
    <w:rsid w:val="00616F81"/>
    <w:rsid w:val="006171DF"/>
    <w:rsid w:val="0061749C"/>
    <w:rsid w:val="0061754B"/>
    <w:rsid w:val="00617711"/>
    <w:rsid w:val="006179AC"/>
    <w:rsid w:val="00617A1B"/>
    <w:rsid w:val="00617A1E"/>
    <w:rsid w:val="00617A9B"/>
    <w:rsid w:val="00617C9A"/>
    <w:rsid w:val="00617E9B"/>
    <w:rsid w:val="00617F54"/>
    <w:rsid w:val="00620057"/>
    <w:rsid w:val="0062009A"/>
    <w:rsid w:val="00620100"/>
    <w:rsid w:val="00620332"/>
    <w:rsid w:val="006205B1"/>
    <w:rsid w:val="00620713"/>
    <w:rsid w:val="00620843"/>
    <w:rsid w:val="00620B82"/>
    <w:rsid w:val="00620C2F"/>
    <w:rsid w:val="00620C84"/>
    <w:rsid w:val="00620D85"/>
    <w:rsid w:val="006210A4"/>
    <w:rsid w:val="006210B2"/>
    <w:rsid w:val="006210C3"/>
    <w:rsid w:val="0062143B"/>
    <w:rsid w:val="006214EA"/>
    <w:rsid w:val="0062170D"/>
    <w:rsid w:val="00621968"/>
    <w:rsid w:val="00621AD7"/>
    <w:rsid w:val="00621E9D"/>
    <w:rsid w:val="00621F1A"/>
    <w:rsid w:val="00621F5E"/>
    <w:rsid w:val="00622194"/>
    <w:rsid w:val="00622464"/>
    <w:rsid w:val="00622585"/>
    <w:rsid w:val="006225DA"/>
    <w:rsid w:val="0062265A"/>
    <w:rsid w:val="006228DD"/>
    <w:rsid w:val="006229FA"/>
    <w:rsid w:val="00622A80"/>
    <w:rsid w:val="00622C56"/>
    <w:rsid w:val="00622EF5"/>
    <w:rsid w:val="00622F20"/>
    <w:rsid w:val="00623096"/>
    <w:rsid w:val="0062318A"/>
    <w:rsid w:val="006231AB"/>
    <w:rsid w:val="00623407"/>
    <w:rsid w:val="0062365B"/>
    <w:rsid w:val="006236DF"/>
    <w:rsid w:val="006237E0"/>
    <w:rsid w:val="00623823"/>
    <w:rsid w:val="00623BF0"/>
    <w:rsid w:val="00623C38"/>
    <w:rsid w:val="00623E6D"/>
    <w:rsid w:val="006241FB"/>
    <w:rsid w:val="00624325"/>
    <w:rsid w:val="006244DB"/>
    <w:rsid w:val="0062463D"/>
    <w:rsid w:val="00624822"/>
    <w:rsid w:val="00624A85"/>
    <w:rsid w:val="00624B0D"/>
    <w:rsid w:val="00624B54"/>
    <w:rsid w:val="00624BAA"/>
    <w:rsid w:val="00624C4B"/>
    <w:rsid w:val="00624F7E"/>
    <w:rsid w:val="0062502D"/>
    <w:rsid w:val="00625132"/>
    <w:rsid w:val="00625196"/>
    <w:rsid w:val="006252D5"/>
    <w:rsid w:val="006254DF"/>
    <w:rsid w:val="006255E9"/>
    <w:rsid w:val="006258C4"/>
    <w:rsid w:val="00625C75"/>
    <w:rsid w:val="00625C83"/>
    <w:rsid w:val="00625DDC"/>
    <w:rsid w:val="006260BB"/>
    <w:rsid w:val="00626201"/>
    <w:rsid w:val="0062634B"/>
    <w:rsid w:val="006264FA"/>
    <w:rsid w:val="00626589"/>
    <w:rsid w:val="00626635"/>
    <w:rsid w:val="006267D3"/>
    <w:rsid w:val="00626978"/>
    <w:rsid w:val="00626B78"/>
    <w:rsid w:val="00626D08"/>
    <w:rsid w:val="00626E04"/>
    <w:rsid w:val="00626F5D"/>
    <w:rsid w:val="0062712E"/>
    <w:rsid w:val="0062749E"/>
    <w:rsid w:val="0062764A"/>
    <w:rsid w:val="0062772D"/>
    <w:rsid w:val="0062789E"/>
    <w:rsid w:val="00627A26"/>
    <w:rsid w:val="00627AB9"/>
    <w:rsid w:val="00627BB9"/>
    <w:rsid w:val="00627BED"/>
    <w:rsid w:val="00627D81"/>
    <w:rsid w:val="00627DC6"/>
    <w:rsid w:val="00627F07"/>
    <w:rsid w:val="00627F4D"/>
    <w:rsid w:val="0063015C"/>
    <w:rsid w:val="00630283"/>
    <w:rsid w:val="00630437"/>
    <w:rsid w:val="00630719"/>
    <w:rsid w:val="0063095B"/>
    <w:rsid w:val="00630982"/>
    <w:rsid w:val="00630DF9"/>
    <w:rsid w:val="00631142"/>
    <w:rsid w:val="00631460"/>
    <w:rsid w:val="0063165E"/>
    <w:rsid w:val="006316FD"/>
    <w:rsid w:val="006318E1"/>
    <w:rsid w:val="00631B02"/>
    <w:rsid w:val="00631B29"/>
    <w:rsid w:val="00631CB5"/>
    <w:rsid w:val="00631CC3"/>
    <w:rsid w:val="006322BA"/>
    <w:rsid w:val="006323B9"/>
    <w:rsid w:val="006325D2"/>
    <w:rsid w:val="00632620"/>
    <w:rsid w:val="006326BA"/>
    <w:rsid w:val="0063291A"/>
    <w:rsid w:val="006329E2"/>
    <w:rsid w:val="00632E26"/>
    <w:rsid w:val="00632F96"/>
    <w:rsid w:val="0063319F"/>
    <w:rsid w:val="00633374"/>
    <w:rsid w:val="00633445"/>
    <w:rsid w:val="00633610"/>
    <w:rsid w:val="0063368F"/>
    <w:rsid w:val="006336D3"/>
    <w:rsid w:val="0063388B"/>
    <w:rsid w:val="00633900"/>
    <w:rsid w:val="00633936"/>
    <w:rsid w:val="00633CBF"/>
    <w:rsid w:val="00633FD9"/>
    <w:rsid w:val="00634231"/>
    <w:rsid w:val="006342B9"/>
    <w:rsid w:val="006342FB"/>
    <w:rsid w:val="006343E5"/>
    <w:rsid w:val="006346D3"/>
    <w:rsid w:val="006347E9"/>
    <w:rsid w:val="00634861"/>
    <w:rsid w:val="00634991"/>
    <w:rsid w:val="00634B3C"/>
    <w:rsid w:val="00634BF2"/>
    <w:rsid w:val="00634D52"/>
    <w:rsid w:val="00635152"/>
    <w:rsid w:val="006351F6"/>
    <w:rsid w:val="0063529B"/>
    <w:rsid w:val="006354B5"/>
    <w:rsid w:val="00635724"/>
    <w:rsid w:val="0063575B"/>
    <w:rsid w:val="0063599F"/>
    <w:rsid w:val="00635C3D"/>
    <w:rsid w:val="00635CE1"/>
    <w:rsid w:val="00635EE9"/>
    <w:rsid w:val="006360A7"/>
    <w:rsid w:val="00636189"/>
    <w:rsid w:val="00636350"/>
    <w:rsid w:val="00636653"/>
    <w:rsid w:val="00636658"/>
    <w:rsid w:val="0063676B"/>
    <w:rsid w:val="006368AA"/>
    <w:rsid w:val="006368E6"/>
    <w:rsid w:val="00636B3E"/>
    <w:rsid w:val="00636DD0"/>
    <w:rsid w:val="00636F50"/>
    <w:rsid w:val="00637052"/>
    <w:rsid w:val="0063734A"/>
    <w:rsid w:val="006374A4"/>
    <w:rsid w:val="006375A1"/>
    <w:rsid w:val="006378DC"/>
    <w:rsid w:val="00637AB5"/>
    <w:rsid w:val="00637AF2"/>
    <w:rsid w:val="00637BFB"/>
    <w:rsid w:val="00637D3D"/>
    <w:rsid w:val="00637DE5"/>
    <w:rsid w:val="00637F76"/>
    <w:rsid w:val="00637F98"/>
    <w:rsid w:val="006403CB"/>
    <w:rsid w:val="00640633"/>
    <w:rsid w:val="006407BE"/>
    <w:rsid w:val="00640825"/>
    <w:rsid w:val="0064084D"/>
    <w:rsid w:val="00640AE3"/>
    <w:rsid w:val="00640E5F"/>
    <w:rsid w:val="0064116E"/>
    <w:rsid w:val="0064127C"/>
    <w:rsid w:val="00641623"/>
    <w:rsid w:val="00641710"/>
    <w:rsid w:val="00641937"/>
    <w:rsid w:val="00641C9B"/>
    <w:rsid w:val="00641D0A"/>
    <w:rsid w:val="00641EAC"/>
    <w:rsid w:val="006420CB"/>
    <w:rsid w:val="0064226B"/>
    <w:rsid w:val="006424EE"/>
    <w:rsid w:val="0064277D"/>
    <w:rsid w:val="00642868"/>
    <w:rsid w:val="006428C5"/>
    <w:rsid w:val="006429FB"/>
    <w:rsid w:val="00642D5B"/>
    <w:rsid w:val="00642E79"/>
    <w:rsid w:val="00642EB9"/>
    <w:rsid w:val="0064343B"/>
    <w:rsid w:val="006434B9"/>
    <w:rsid w:val="006435B8"/>
    <w:rsid w:val="00643721"/>
    <w:rsid w:val="0064379F"/>
    <w:rsid w:val="00643899"/>
    <w:rsid w:val="00643BE3"/>
    <w:rsid w:val="00643D81"/>
    <w:rsid w:val="00643E1E"/>
    <w:rsid w:val="00643EBE"/>
    <w:rsid w:val="00643F1D"/>
    <w:rsid w:val="00644257"/>
    <w:rsid w:val="0064426D"/>
    <w:rsid w:val="006442AE"/>
    <w:rsid w:val="006442C9"/>
    <w:rsid w:val="00644542"/>
    <w:rsid w:val="00644828"/>
    <w:rsid w:val="006448F1"/>
    <w:rsid w:val="0064492F"/>
    <w:rsid w:val="0064499D"/>
    <w:rsid w:val="00644A54"/>
    <w:rsid w:val="00644B42"/>
    <w:rsid w:val="00644E56"/>
    <w:rsid w:val="00644E98"/>
    <w:rsid w:val="00644EF3"/>
    <w:rsid w:val="0064501F"/>
    <w:rsid w:val="006451C3"/>
    <w:rsid w:val="0064526D"/>
    <w:rsid w:val="0064548A"/>
    <w:rsid w:val="0064575C"/>
    <w:rsid w:val="006458D1"/>
    <w:rsid w:val="006458DB"/>
    <w:rsid w:val="0064590C"/>
    <w:rsid w:val="00645A99"/>
    <w:rsid w:val="00645BDD"/>
    <w:rsid w:val="00645EB7"/>
    <w:rsid w:val="00645F2A"/>
    <w:rsid w:val="00645F99"/>
    <w:rsid w:val="00645FF8"/>
    <w:rsid w:val="00646049"/>
    <w:rsid w:val="0064606B"/>
    <w:rsid w:val="00646358"/>
    <w:rsid w:val="006465BA"/>
    <w:rsid w:val="006465EE"/>
    <w:rsid w:val="0064672E"/>
    <w:rsid w:val="006467E0"/>
    <w:rsid w:val="006468A7"/>
    <w:rsid w:val="006469AD"/>
    <w:rsid w:val="006469CC"/>
    <w:rsid w:val="00646F97"/>
    <w:rsid w:val="006472D4"/>
    <w:rsid w:val="00647340"/>
    <w:rsid w:val="006473A3"/>
    <w:rsid w:val="0064740B"/>
    <w:rsid w:val="006474E7"/>
    <w:rsid w:val="006475D2"/>
    <w:rsid w:val="00647756"/>
    <w:rsid w:val="00647862"/>
    <w:rsid w:val="00647BB0"/>
    <w:rsid w:val="00647D55"/>
    <w:rsid w:val="00647E08"/>
    <w:rsid w:val="00647EEF"/>
    <w:rsid w:val="00647FBE"/>
    <w:rsid w:val="00650077"/>
    <w:rsid w:val="00650097"/>
    <w:rsid w:val="006503C1"/>
    <w:rsid w:val="00650691"/>
    <w:rsid w:val="0065074C"/>
    <w:rsid w:val="006508E1"/>
    <w:rsid w:val="00650954"/>
    <w:rsid w:val="006509E1"/>
    <w:rsid w:val="00650DAD"/>
    <w:rsid w:val="0065119E"/>
    <w:rsid w:val="006512CF"/>
    <w:rsid w:val="00651658"/>
    <w:rsid w:val="006518C9"/>
    <w:rsid w:val="00651938"/>
    <w:rsid w:val="00651963"/>
    <w:rsid w:val="00651BCA"/>
    <w:rsid w:val="00651C8F"/>
    <w:rsid w:val="00651D3D"/>
    <w:rsid w:val="00651FE5"/>
    <w:rsid w:val="006520CC"/>
    <w:rsid w:val="0065218D"/>
    <w:rsid w:val="006522D9"/>
    <w:rsid w:val="006524EB"/>
    <w:rsid w:val="00652558"/>
    <w:rsid w:val="006529B0"/>
    <w:rsid w:val="00652A32"/>
    <w:rsid w:val="00652AC4"/>
    <w:rsid w:val="00652E64"/>
    <w:rsid w:val="00652F45"/>
    <w:rsid w:val="0065306B"/>
    <w:rsid w:val="006531D1"/>
    <w:rsid w:val="00653235"/>
    <w:rsid w:val="00653279"/>
    <w:rsid w:val="00653409"/>
    <w:rsid w:val="00653479"/>
    <w:rsid w:val="006536B3"/>
    <w:rsid w:val="00653785"/>
    <w:rsid w:val="00653832"/>
    <w:rsid w:val="006539D0"/>
    <w:rsid w:val="00653C74"/>
    <w:rsid w:val="00653D2B"/>
    <w:rsid w:val="00653D53"/>
    <w:rsid w:val="00653F0D"/>
    <w:rsid w:val="00653F90"/>
    <w:rsid w:val="00653F97"/>
    <w:rsid w:val="0065436C"/>
    <w:rsid w:val="006543C0"/>
    <w:rsid w:val="0065474F"/>
    <w:rsid w:val="00654823"/>
    <w:rsid w:val="00654856"/>
    <w:rsid w:val="00654862"/>
    <w:rsid w:val="006548CD"/>
    <w:rsid w:val="006548D8"/>
    <w:rsid w:val="0065490E"/>
    <w:rsid w:val="00654AC8"/>
    <w:rsid w:val="00654B21"/>
    <w:rsid w:val="00654B6C"/>
    <w:rsid w:val="00654FFA"/>
    <w:rsid w:val="00655018"/>
    <w:rsid w:val="0065504F"/>
    <w:rsid w:val="00655202"/>
    <w:rsid w:val="0065584D"/>
    <w:rsid w:val="00655C4A"/>
    <w:rsid w:val="00655EF2"/>
    <w:rsid w:val="00656189"/>
    <w:rsid w:val="0065629B"/>
    <w:rsid w:val="00656470"/>
    <w:rsid w:val="006564D1"/>
    <w:rsid w:val="006564F6"/>
    <w:rsid w:val="00656579"/>
    <w:rsid w:val="00656C61"/>
    <w:rsid w:val="00656E4C"/>
    <w:rsid w:val="0065708C"/>
    <w:rsid w:val="0065728F"/>
    <w:rsid w:val="0065735E"/>
    <w:rsid w:val="006574FC"/>
    <w:rsid w:val="00657522"/>
    <w:rsid w:val="006575EB"/>
    <w:rsid w:val="006576DE"/>
    <w:rsid w:val="0065775C"/>
    <w:rsid w:val="006577C0"/>
    <w:rsid w:val="006578B9"/>
    <w:rsid w:val="006603C9"/>
    <w:rsid w:val="006603F1"/>
    <w:rsid w:val="0066045D"/>
    <w:rsid w:val="0066047B"/>
    <w:rsid w:val="006609DA"/>
    <w:rsid w:val="00660C3B"/>
    <w:rsid w:val="00660C6E"/>
    <w:rsid w:val="00660E59"/>
    <w:rsid w:val="00661010"/>
    <w:rsid w:val="00661854"/>
    <w:rsid w:val="00661977"/>
    <w:rsid w:val="00661B63"/>
    <w:rsid w:val="00661E82"/>
    <w:rsid w:val="00661F66"/>
    <w:rsid w:val="0066223C"/>
    <w:rsid w:val="00662256"/>
    <w:rsid w:val="00662628"/>
    <w:rsid w:val="00662724"/>
    <w:rsid w:val="0066277B"/>
    <w:rsid w:val="006627BA"/>
    <w:rsid w:val="00662977"/>
    <w:rsid w:val="00662A0E"/>
    <w:rsid w:val="00662BE9"/>
    <w:rsid w:val="00662CC2"/>
    <w:rsid w:val="00662D2A"/>
    <w:rsid w:val="00662D97"/>
    <w:rsid w:val="00662FAE"/>
    <w:rsid w:val="006635B5"/>
    <w:rsid w:val="006635BD"/>
    <w:rsid w:val="0066370C"/>
    <w:rsid w:val="00663713"/>
    <w:rsid w:val="006639F5"/>
    <w:rsid w:val="00663C8F"/>
    <w:rsid w:val="00663ED8"/>
    <w:rsid w:val="006640FB"/>
    <w:rsid w:val="006641A0"/>
    <w:rsid w:val="006641D1"/>
    <w:rsid w:val="00664232"/>
    <w:rsid w:val="00664255"/>
    <w:rsid w:val="006646A4"/>
    <w:rsid w:val="0066484E"/>
    <w:rsid w:val="00664938"/>
    <w:rsid w:val="00664B12"/>
    <w:rsid w:val="00664B22"/>
    <w:rsid w:val="00664B28"/>
    <w:rsid w:val="00664F56"/>
    <w:rsid w:val="00664FE6"/>
    <w:rsid w:val="006650FD"/>
    <w:rsid w:val="006652C1"/>
    <w:rsid w:val="00665343"/>
    <w:rsid w:val="006653AD"/>
    <w:rsid w:val="00665476"/>
    <w:rsid w:val="0066551D"/>
    <w:rsid w:val="00665601"/>
    <w:rsid w:val="006656CC"/>
    <w:rsid w:val="006659D9"/>
    <w:rsid w:val="00665ADC"/>
    <w:rsid w:val="00665B8E"/>
    <w:rsid w:val="00665C5D"/>
    <w:rsid w:val="00665DAD"/>
    <w:rsid w:val="00665FB3"/>
    <w:rsid w:val="006662DF"/>
    <w:rsid w:val="006663E5"/>
    <w:rsid w:val="00666578"/>
    <w:rsid w:val="00666614"/>
    <w:rsid w:val="006667C4"/>
    <w:rsid w:val="00666849"/>
    <w:rsid w:val="00666A0D"/>
    <w:rsid w:val="00666AAC"/>
    <w:rsid w:val="00666D27"/>
    <w:rsid w:val="00666DC3"/>
    <w:rsid w:val="00666F23"/>
    <w:rsid w:val="0066709E"/>
    <w:rsid w:val="0066713C"/>
    <w:rsid w:val="0066771B"/>
    <w:rsid w:val="006679C7"/>
    <w:rsid w:val="00667B09"/>
    <w:rsid w:val="00667B24"/>
    <w:rsid w:val="00667C95"/>
    <w:rsid w:val="00667E30"/>
    <w:rsid w:val="00667F50"/>
    <w:rsid w:val="0067008C"/>
    <w:rsid w:val="006700B6"/>
    <w:rsid w:val="006701F9"/>
    <w:rsid w:val="0067092D"/>
    <w:rsid w:val="006709BB"/>
    <w:rsid w:val="00670CD8"/>
    <w:rsid w:val="00670E76"/>
    <w:rsid w:val="00670E80"/>
    <w:rsid w:val="00670FCE"/>
    <w:rsid w:val="006710E4"/>
    <w:rsid w:val="0067114C"/>
    <w:rsid w:val="00671207"/>
    <w:rsid w:val="00671276"/>
    <w:rsid w:val="00671442"/>
    <w:rsid w:val="00671572"/>
    <w:rsid w:val="006715CB"/>
    <w:rsid w:val="0067163F"/>
    <w:rsid w:val="00671811"/>
    <w:rsid w:val="0067186A"/>
    <w:rsid w:val="006719FB"/>
    <w:rsid w:val="00671C7F"/>
    <w:rsid w:val="00671D6E"/>
    <w:rsid w:val="00671DAC"/>
    <w:rsid w:val="006721CE"/>
    <w:rsid w:val="006722CB"/>
    <w:rsid w:val="00672345"/>
    <w:rsid w:val="00672694"/>
    <w:rsid w:val="006729ED"/>
    <w:rsid w:val="00672B5D"/>
    <w:rsid w:val="00672BFC"/>
    <w:rsid w:val="00672C8D"/>
    <w:rsid w:val="00672CC7"/>
    <w:rsid w:val="00672D92"/>
    <w:rsid w:val="00672DF4"/>
    <w:rsid w:val="00672FF8"/>
    <w:rsid w:val="0067309E"/>
    <w:rsid w:val="00673594"/>
    <w:rsid w:val="006738CD"/>
    <w:rsid w:val="00673AEC"/>
    <w:rsid w:val="00673AFF"/>
    <w:rsid w:val="00673BB6"/>
    <w:rsid w:val="00673D08"/>
    <w:rsid w:val="00673DE0"/>
    <w:rsid w:val="00673E6A"/>
    <w:rsid w:val="00673EC6"/>
    <w:rsid w:val="0067400F"/>
    <w:rsid w:val="006740AB"/>
    <w:rsid w:val="006740EA"/>
    <w:rsid w:val="006742D9"/>
    <w:rsid w:val="0067443A"/>
    <w:rsid w:val="006744F7"/>
    <w:rsid w:val="00674881"/>
    <w:rsid w:val="00674898"/>
    <w:rsid w:val="006748A9"/>
    <w:rsid w:val="00674D7E"/>
    <w:rsid w:val="00674DB4"/>
    <w:rsid w:val="00674DF8"/>
    <w:rsid w:val="00674EB8"/>
    <w:rsid w:val="00674F16"/>
    <w:rsid w:val="0067503E"/>
    <w:rsid w:val="00675044"/>
    <w:rsid w:val="006750D8"/>
    <w:rsid w:val="006750EB"/>
    <w:rsid w:val="006751AA"/>
    <w:rsid w:val="006754F4"/>
    <w:rsid w:val="00675515"/>
    <w:rsid w:val="006759AF"/>
    <w:rsid w:val="00675C3C"/>
    <w:rsid w:val="00675C5E"/>
    <w:rsid w:val="00675EC6"/>
    <w:rsid w:val="00675FD4"/>
    <w:rsid w:val="0067607E"/>
    <w:rsid w:val="0067622C"/>
    <w:rsid w:val="0067634C"/>
    <w:rsid w:val="00676493"/>
    <w:rsid w:val="006767E8"/>
    <w:rsid w:val="00676887"/>
    <w:rsid w:val="00676A12"/>
    <w:rsid w:val="00676A3B"/>
    <w:rsid w:val="00676A81"/>
    <w:rsid w:val="00676A89"/>
    <w:rsid w:val="00676BB6"/>
    <w:rsid w:val="00676CAE"/>
    <w:rsid w:val="00676D32"/>
    <w:rsid w:val="00676D59"/>
    <w:rsid w:val="0067708D"/>
    <w:rsid w:val="00677116"/>
    <w:rsid w:val="0067717C"/>
    <w:rsid w:val="006773D9"/>
    <w:rsid w:val="006775A8"/>
    <w:rsid w:val="006777F7"/>
    <w:rsid w:val="0067785D"/>
    <w:rsid w:val="006778C0"/>
    <w:rsid w:val="00677998"/>
    <w:rsid w:val="006779C5"/>
    <w:rsid w:val="00677A0B"/>
    <w:rsid w:val="00677A0F"/>
    <w:rsid w:val="00677A37"/>
    <w:rsid w:val="00677A9C"/>
    <w:rsid w:val="00677AAC"/>
    <w:rsid w:val="00677B5D"/>
    <w:rsid w:val="00677BED"/>
    <w:rsid w:val="00677EFC"/>
    <w:rsid w:val="00677F2B"/>
    <w:rsid w:val="00677FF7"/>
    <w:rsid w:val="00680096"/>
    <w:rsid w:val="006805BF"/>
    <w:rsid w:val="00680709"/>
    <w:rsid w:val="00680796"/>
    <w:rsid w:val="006807C6"/>
    <w:rsid w:val="00680E3E"/>
    <w:rsid w:val="0068108D"/>
    <w:rsid w:val="0068147C"/>
    <w:rsid w:val="00681659"/>
    <w:rsid w:val="0068177F"/>
    <w:rsid w:val="00681A98"/>
    <w:rsid w:val="00681AB1"/>
    <w:rsid w:val="00681C52"/>
    <w:rsid w:val="00681C73"/>
    <w:rsid w:val="00681D4F"/>
    <w:rsid w:val="00681E37"/>
    <w:rsid w:val="00681EB8"/>
    <w:rsid w:val="00682043"/>
    <w:rsid w:val="006820DF"/>
    <w:rsid w:val="00682249"/>
    <w:rsid w:val="0068224E"/>
    <w:rsid w:val="00682294"/>
    <w:rsid w:val="0068240A"/>
    <w:rsid w:val="006824AA"/>
    <w:rsid w:val="006824B7"/>
    <w:rsid w:val="0068253B"/>
    <w:rsid w:val="006825E2"/>
    <w:rsid w:val="006826CC"/>
    <w:rsid w:val="00682883"/>
    <w:rsid w:val="0068299F"/>
    <w:rsid w:val="00682A96"/>
    <w:rsid w:val="00682AEB"/>
    <w:rsid w:val="00682C38"/>
    <w:rsid w:val="00682CFA"/>
    <w:rsid w:val="00682E9A"/>
    <w:rsid w:val="006830F5"/>
    <w:rsid w:val="006831C6"/>
    <w:rsid w:val="006832DF"/>
    <w:rsid w:val="006833AE"/>
    <w:rsid w:val="00683560"/>
    <w:rsid w:val="0068364B"/>
    <w:rsid w:val="00683986"/>
    <w:rsid w:val="00683AB5"/>
    <w:rsid w:val="00683B65"/>
    <w:rsid w:val="00683BA2"/>
    <w:rsid w:val="00683BF1"/>
    <w:rsid w:val="00683BF6"/>
    <w:rsid w:val="00683C8C"/>
    <w:rsid w:val="00683E2C"/>
    <w:rsid w:val="00683F3B"/>
    <w:rsid w:val="00683F82"/>
    <w:rsid w:val="0068441D"/>
    <w:rsid w:val="00684494"/>
    <w:rsid w:val="00684590"/>
    <w:rsid w:val="006848B6"/>
    <w:rsid w:val="0068491B"/>
    <w:rsid w:val="0068492C"/>
    <w:rsid w:val="00684D52"/>
    <w:rsid w:val="00684E14"/>
    <w:rsid w:val="00684F1C"/>
    <w:rsid w:val="006850F7"/>
    <w:rsid w:val="0068526A"/>
    <w:rsid w:val="006852D1"/>
    <w:rsid w:val="0068536F"/>
    <w:rsid w:val="0068555C"/>
    <w:rsid w:val="006856A7"/>
    <w:rsid w:val="00685888"/>
    <w:rsid w:val="00685A3B"/>
    <w:rsid w:val="00685A7B"/>
    <w:rsid w:val="00685C5B"/>
    <w:rsid w:val="00685C81"/>
    <w:rsid w:val="00685CF7"/>
    <w:rsid w:val="00685D74"/>
    <w:rsid w:val="00685FAD"/>
    <w:rsid w:val="00685FED"/>
    <w:rsid w:val="00686078"/>
    <w:rsid w:val="00686165"/>
    <w:rsid w:val="006861B7"/>
    <w:rsid w:val="006862A7"/>
    <w:rsid w:val="00686334"/>
    <w:rsid w:val="00686493"/>
    <w:rsid w:val="006864CB"/>
    <w:rsid w:val="006865B7"/>
    <w:rsid w:val="006866B0"/>
    <w:rsid w:val="006866F3"/>
    <w:rsid w:val="00686732"/>
    <w:rsid w:val="00686B07"/>
    <w:rsid w:val="00686B08"/>
    <w:rsid w:val="00686CE7"/>
    <w:rsid w:val="00686D8F"/>
    <w:rsid w:val="00686E4B"/>
    <w:rsid w:val="00686ECE"/>
    <w:rsid w:val="00686F9E"/>
    <w:rsid w:val="00686FA9"/>
    <w:rsid w:val="00687128"/>
    <w:rsid w:val="0068734F"/>
    <w:rsid w:val="006873B6"/>
    <w:rsid w:val="00687513"/>
    <w:rsid w:val="0068757E"/>
    <w:rsid w:val="0068760F"/>
    <w:rsid w:val="00687737"/>
    <w:rsid w:val="0068792E"/>
    <w:rsid w:val="00687B9F"/>
    <w:rsid w:val="00687C65"/>
    <w:rsid w:val="00687CFC"/>
    <w:rsid w:val="00687F0C"/>
    <w:rsid w:val="00690358"/>
    <w:rsid w:val="00690636"/>
    <w:rsid w:val="006906F4"/>
    <w:rsid w:val="00690818"/>
    <w:rsid w:val="0069087A"/>
    <w:rsid w:val="00690CB0"/>
    <w:rsid w:val="00690DA1"/>
    <w:rsid w:val="00690DEB"/>
    <w:rsid w:val="00690E34"/>
    <w:rsid w:val="00690FE4"/>
    <w:rsid w:val="006910D0"/>
    <w:rsid w:val="00691233"/>
    <w:rsid w:val="00691236"/>
    <w:rsid w:val="006913A4"/>
    <w:rsid w:val="006914ED"/>
    <w:rsid w:val="006915C2"/>
    <w:rsid w:val="00691603"/>
    <w:rsid w:val="006916F6"/>
    <w:rsid w:val="0069181E"/>
    <w:rsid w:val="0069181F"/>
    <w:rsid w:val="00691A17"/>
    <w:rsid w:val="00691CB5"/>
    <w:rsid w:val="00691E8B"/>
    <w:rsid w:val="00691F7F"/>
    <w:rsid w:val="00691F8A"/>
    <w:rsid w:val="006921BC"/>
    <w:rsid w:val="006921C0"/>
    <w:rsid w:val="006921CD"/>
    <w:rsid w:val="0069228D"/>
    <w:rsid w:val="006923DA"/>
    <w:rsid w:val="006923DF"/>
    <w:rsid w:val="00692666"/>
    <w:rsid w:val="006926A3"/>
    <w:rsid w:val="00692751"/>
    <w:rsid w:val="006927B6"/>
    <w:rsid w:val="006927EA"/>
    <w:rsid w:val="00692AC4"/>
    <w:rsid w:val="00692AC6"/>
    <w:rsid w:val="00692B52"/>
    <w:rsid w:val="00692B7C"/>
    <w:rsid w:val="00692C11"/>
    <w:rsid w:val="00692CB4"/>
    <w:rsid w:val="006930EE"/>
    <w:rsid w:val="00693394"/>
    <w:rsid w:val="006933D6"/>
    <w:rsid w:val="006936D6"/>
    <w:rsid w:val="0069381E"/>
    <w:rsid w:val="006938B0"/>
    <w:rsid w:val="0069397A"/>
    <w:rsid w:val="00693A01"/>
    <w:rsid w:val="00693A41"/>
    <w:rsid w:val="00693AFF"/>
    <w:rsid w:val="00693CDD"/>
    <w:rsid w:val="00693D01"/>
    <w:rsid w:val="00693E0F"/>
    <w:rsid w:val="00693EF3"/>
    <w:rsid w:val="00693EFF"/>
    <w:rsid w:val="00693F2C"/>
    <w:rsid w:val="00694164"/>
    <w:rsid w:val="0069469A"/>
    <w:rsid w:val="006947FB"/>
    <w:rsid w:val="00694AF7"/>
    <w:rsid w:val="00694D75"/>
    <w:rsid w:val="00694F4D"/>
    <w:rsid w:val="00694FDE"/>
    <w:rsid w:val="00695352"/>
    <w:rsid w:val="00695393"/>
    <w:rsid w:val="00695461"/>
    <w:rsid w:val="006955D5"/>
    <w:rsid w:val="00695839"/>
    <w:rsid w:val="00695902"/>
    <w:rsid w:val="00695B65"/>
    <w:rsid w:val="00695C74"/>
    <w:rsid w:val="00695CBA"/>
    <w:rsid w:val="00695CEA"/>
    <w:rsid w:val="00695F92"/>
    <w:rsid w:val="00696127"/>
    <w:rsid w:val="00696393"/>
    <w:rsid w:val="006966DB"/>
    <w:rsid w:val="006966F7"/>
    <w:rsid w:val="00696A2F"/>
    <w:rsid w:val="00696BE3"/>
    <w:rsid w:val="00696D28"/>
    <w:rsid w:val="00696D33"/>
    <w:rsid w:val="00696DCD"/>
    <w:rsid w:val="00696DE4"/>
    <w:rsid w:val="00696FEC"/>
    <w:rsid w:val="00697047"/>
    <w:rsid w:val="00697050"/>
    <w:rsid w:val="00697071"/>
    <w:rsid w:val="00697386"/>
    <w:rsid w:val="00697414"/>
    <w:rsid w:val="006974C5"/>
    <w:rsid w:val="006975B0"/>
    <w:rsid w:val="006975F1"/>
    <w:rsid w:val="0069762E"/>
    <w:rsid w:val="006977FE"/>
    <w:rsid w:val="00697A93"/>
    <w:rsid w:val="00697ABC"/>
    <w:rsid w:val="00697BAF"/>
    <w:rsid w:val="00697E8D"/>
    <w:rsid w:val="00697EFA"/>
    <w:rsid w:val="006A0390"/>
    <w:rsid w:val="006A03FA"/>
    <w:rsid w:val="006A042E"/>
    <w:rsid w:val="006A045F"/>
    <w:rsid w:val="006A0565"/>
    <w:rsid w:val="006A07C8"/>
    <w:rsid w:val="006A0B48"/>
    <w:rsid w:val="006A0BB0"/>
    <w:rsid w:val="006A0BC9"/>
    <w:rsid w:val="006A0CB8"/>
    <w:rsid w:val="006A0CCC"/>
    <w:rsid w:val="006A0F2B"/>
    <w:rsid w:val="006A0F72"/>
    <w:rsid w:val="006A1095"/>
    <w:rsid w:val="006A11BD"/>
    <w:rsid w:val="006A12AB"/>
    <w:rsid w:val="006A12B9"/>
    <w:rsid w:val="006A15EF"/>
    <w:rsid w:val="006A1626"/>
    <w:rsid w:val="006A1940"/>
    <w:rsid w:val="006A19C6"/>
    <w:rsid w:val="006A1AB8"/>
    <w:rsid w:val="006A1B48"/>
    <w:rsid w:val="006A1B98"/>
    <w:rsid w:val="006A1D15"/>
    <w:rsid w:val="006A1EF2"/>
    <w:rsid w:val="006A1F1C"/>
    <w:rsid w:val="006A1F29"/>
    <w:rsid w:val="006A1F2A"/>
    <w:rsid w:val="006A1FFF"/>
    <w:rsid w:val="006A20CA"/>
    <w:rsid w:val="006A2458"/>
    <w:rsid w:val="006A24E8"/>
    <w:rsid w:val="006A251D"/>
    <w:rsid w:val="006A2625"/>
    <w:rsid w:val="006A274E"/>
    <w:rsid w:val="006A2840"/>
    <w:rsid w:val="006A2996"/>
    <w:rsid w:val="006A29AF"/>
    <w:rsid w:val="006A2D13"/>
    <w:rsid w:val="006A2E4D"/>
    <w:rsid w:val="006A2F57"/>
    <w:rsid w:val="006A339F"/>
    <w:rsid w:val="006A3497"/>
    <w:rsid w:val="006A3525"/>
    <w:rsid w:val="006A36E0"/>
    <w:rsid w:val="006A371B"/>
    <w:rsid w:val="006A37F5"/>
    <w:rsid w:val="006A388B"/>
    <w:rsid w:val="006A39F4"/>
    <w:rsid w:val="006A4068"/>
    <w:rsid w:val="006A428F"/>
    <w:rsid w:val="006A4562"/>
    <w:rsid w:val="006A46CB"/>
    <w:rsid w:val="006A49D8"/>
    <w:rsid w:val="006A4D70"/>
    <w:rsid w:val="006A5388"/>
    <w:rsid w:val="006A54AE"/>
    <w:rsid w:val="006A5711"/>
    <w:rsid w:val="006A58B9"/>
    <w:rsid w:val="006A5B17"/>
    <w:rsid w:val="006A5BEE"/>
    <w:rsid w:val="006A5BF2"/>
    <w:rsid w:val="006A5EBD"/>
    <w:rsid w:val="006A5ED0"/>
    <w:rsid w:val="006A6189"/>
    <w:rsid w:val="006A6500"/>
    <w:rsid w:val="006A6582"/>
    <w:rsid w:val="006A65CA"/>
    <w:rsid w:val="006A6615"/>
    <w:rsid w:val="006A6630"/>
    <w:rsid w:val="006A6707"/>
    <w:rsid w:val="006A68AE"/>
    <w:rsid w:val="006A68D7"/>
    <w:rsid w:val="006A6EAD"/>
    <w:rsid w:val="006A7037"/>
    <w:rsid w:val="006A70D3"/>
    <w:rsid w:val="006A7136"/>
    <w:rsid w:val="006A722E"/>
    <w:rsid w:val="006A74AC"/>
    <w:rsid w:val="006A75B6"/>
    <w:rsid w:val="006A76A2"/>
    <w:rsid w:val="006A794E"/>
    <w:rsid w:val="006A7B1B"/>
    <w:rsid w:val="006A7C6F"/>
    <w:rsid w:val="006A7D38"/>
    <w:rsid w:val="006A7FA5"/>
    <w:rsid w:val="006A7FE9"/>
    <w:rsid w:val="006B008E"/>
    <w:rsid w:val="006B0097"/>
    <w:rsid w:val="006B0717"/>
    <w:rsid w:val="006B09A3"/>
    <w:rsid w:val="006B09A5"/>
    <w:rsid w:val="006B0D12"/>
    <w:rsid w:val="006B0D14"/>
    <w:rsid w:val="006B0DA8"/>
    <w:rsid w:val="006B0ED5"/>
    <w:rsid w:val="006B1091"/>
    <w:rsid w:val="006B1191"/>
    <w:rsid w:val="006B12E5"/>
    <w:rsid w:val="006B149B"/>
    <w:rsid w:val="006B15D9"/>
    <w:rsid w:val="006B1647"/>
    <w:rsid w:val="006B1732"/>
    <w:rsid w:val="006B184C"/>
    <w:rsid w:val="006B187C"/>
    <w:rsid w:val="006B1887"/>
    <w:rsid w:val="006B1985"/>
    <w:rsid w:val="006B1A05"/>
    <w:rsid w:val="006B1A58"/>
    <w:rsid w:val="006B1A71"/>
    <w:rsid w:val="006B1E7D"/>
    <w:rsid w:val="006B1FD8"/>
    <w:rsid w:val="006B2130"/>
    <w:rsid w:val="006B2146"/>
    <w:rsid w:val="006B246B"/>
    <w:rsid w:val="006B24DC"/>
    <w:rsid w:val="006B2761"/>
    <w:rsid w:val="006B2888"/>
    <w:rsid w:val="006B28D9"/>
    <w:rsid w:val="006B291C"/>
    <w:rsid w:val="006B295A"/>
    <w:rsid w:val="006B2A03"/>
    <w:rsid w:val="006B2B79"/>
    <w:rsid w:val="006B2F0F"/>
    <w:rsid w:val="006B3021"/>
    <w:rsid w:val="006B3551"/>
    <w:rsid w:val="006B38FF"/>
    <w:rsid w:val="006B3A8B"/>
    <w:rsid w:val="006B3B08"/>
    <w:rsid w:val="006B3C99"/>
    <w:rsid w:val="006B3DBA"/>
    <w:rsid w:val="006B4223"/>
    <w:rsid w:val="006B441F"/>
    <w:rsid w:val="006B45C6"/>
    <w:rsid w:val="006B45E5"/>
    <w:rsid w:val="006B45EB"/>
    <w:rsid w:val="006B4683"/>
    <w:rsid w:val="006B4957"/>
    <w:rsid w:val="006B49AC"/>
    <w:rsid w:val="006B4AF3"/>
    <w:rsid w:val="006B4C11"/>
    <w:rsid w:val="006B4F49"/>
    <w:rsid w:val="006B5081"/>
    <w:rsid w:val="006B51EC"/>
    <w:rsid w:val="006B5291"/>
    <w:rsid w:val="006B5372"/>
    <w:rsid w:val="006B5406"/>
    <w:rsid w:val="006B5428"/>
    <w:rsid w:val="006B5452"/>
    <w:rsid w:val="006B566E"/>
    <w:rsid w:val="006B5694"/>
    <w:rsid w:val="006B5C09"/>
    <w:rsid w:val="006B5C51"/>
    <w:rsid w:val="006B5D43"/>
    <w:rsid w:val="006B5EEE"/>
    <w:rsid w:val="006B5EFF"/>
    <w:rsid w:val="006B61F7"/>
    <w:rsid w:val="006B66D8"/>
    <w:rsid w:val="006B6884"/>
    <w:rsid w:val="006B694A"/>
    <w:rsid w:val="006B6A54"/>
    <w:rsid w:val="006B6A60"/>
    <w:rsid w:val="006B6AE2"/>
    <w:rsid w:val="006B6BA0"/>
    <w:rsid w:val="006B6BA9"/>
    <w:rsid w:val="006B6C48"/>
    <w:rsid w:val="006B6E6F"/>
    <w:rsid w:val="006B6E80"/>
    <w:rsid w:val="006B6EDF"/>
    <w:rsid w:val="006B7080"/>
    <w:rsid w:val="006B7179"/>
    <w:rsid w:val="006B72DC"/>
    <w:rsid w:val="006B74A0"/>
    <w:rsid w:val="006B7594"/>
    <w:rsid w:val="006B76A9"/>
    <w:rsid w:val="006B78AA"/>
    <w:rsid w:val="006B7B74"/>
    <w:rsid w:val="006B7BE2"/>
    <w:rsid w:val="006B7C7B"/>
    <w:rsid w:val="006B7E49"/>
    <w:rsid w:val="006B7F78"/>
    <w:rsid w:val="006C0076"/>
    <w:rsid w:val="006C0251"/>
    <w:rsid w:val="006C06B0"/>
    <w:rsid w:val="006C06B4"/>
    <w:rsid w:val="006C0773"/>
    <w:rsid w:val="006C0A20"/>
    <w:rsid w:val="006C0ABA"/>
    <w:rsid w:val="006C0C56"/>
    <w:rsid w:val="006C0CEF"/>
    <w:rsid w:val="006C0D3F"/>
    <w:rsid w:val="006C0D8E"/>
    <w:rsid w:val="006C0E0B"/>
    <w:rsid w:val="006C0E2A"/>
    <w:rsid w:val="006C0EB3"/>
    <w:rsid w:val="006C10D9"/>
    <w:rsid w:val="006C13F5"/>
    <w:rsid w:val="006C17ED"/>
    <w:rsid w:val="006C1828"/>
    <w:rsid w:val="006C182E"/>
    <w:rsid w:val="006C1847"/>
    <w:rsid w:val="006C1892"/>
    <w:rsid w:val="006C1972"/>
    <w:rsid w:val="006C1A23"/>
    <w:rsid w:val="006C1A64"/>
    <w:rsid w:val="006C1AB5"/>
    <w:rsid w:val="006C1CC8"/>
    <w:rsid w:val="006C224D"/>
    <w:rsid w:val="006C23D9"/>
    <w:rsid w:val="006C24CB"/>
    <w:rsid w:val="006C2565"/>
    <w:rsid w:val="006C265D"/>
    <w:rsid w:val="006C2773"/>
    <w:rsid w:val="006C27AD"/>
    <w:rsid w:val="006C284B"/>
    <w:rsid w:val="006C2E45"/>
    <w:rsid w:val="006C2E51"/>
    <w:rsid w:val="006C2F25"/>
    <w:rsid w:val="006C312D"/>
    <w:rsid w:val="006C3259"/>
    <w:rsid w:val="006C37E5"/>
    <w:rsid w:val="006C3895"/>
    <w:rsid w:val="006C38B1"/>
    <w:rsid w:val="006C391D"/>
    <w:rsid w:val="006C3D4E"/>
    <w:rsid w:val="006C3EA2"/>
    <w:rsid w:val="006C3EB5"/>
    <w:rsid w:val="006C4019"/>
    <w:rsid w:val="006C404A"/>
    <w:rsid w:val="006C409F"/>
    <w:rsid w:val="006C40D6"/>
    <w:rsid w:val="006C415D"/>
    <w:rsid w:val="006C4315"/>
    <w:rsid w:val="006C43DA"/>
    <w:rsid w:val="006C4527"/>
    <w:rsid w:val="006C4713"/>
    <w:rsid w:val="006C479C"/>
    <w:rsid w:val="006C4A85"/>
    <w:rsid w:val="006C4ADA"/>
    <w:rsid w:val="006C4D25"/>
    <w:rsid w:val="006C4D98"/>
    <w:rsid w:val="006C4EDB"/>
    <w:rsid w:val="006C4FB5"/>
    <w:rsid w:val="006C4FCA"/>
    <w:rsid w:val="006C50EA"/>
    <w:rsid w:val="006C560D"/>
    <w:rsid w:val="006C571D"/>
    <w:rsid w:val="006C577C"/>
    <w:rsid w:val="006C5A4F"/>
    <w:rsid w:val="006C5B73"/>
    <w:rsid w:val="006C5BD1"/>
    <w:rsid w:val="006C601B"/>
    <w:rsid w:val="006C6225"/>
    <w:rsid w:val="006C62B9"/>
    <w:rsid w:val="006C6419"/>
    <w:rsid w:val="006C645D"/>
    <w:rsid w:val="006C64CF"/>
    <w:rsid w:val="006C6626"/>
    <w:rsid w:val="006C69E4"/>
    <w:rsid w:val="006C6A66"/>
    <w:rsid w:val="006C6B51"/>
    <w:rsid w:val="006C6C84"/>
    <w:rsid w:val="006C6E7F"/>
    <w:rsid w:val="006C719E"/>
    <w:rsid w:val="006C71F7"/>
    <w:rsid w:val="006C7260"/>
    <w:rsid w:val="006C726C"/>
    <w:rsid w:val="006C738A"/>
    <w:rsid w:val="006C7966"/>
    <w:rsid w:val="006C7BAA"/>
    <w:rsid w:val="006C7C36"/>
    <w:rsid w:val="006C7D39"/>
    <w:rsid w:val="006C7DD5"/>
    <w:rsid w:val="006C7DDC"/>
    <w:rsid w:val="006C7EED"/>
    <w:rsid w:val="006C7F55"/>
    <w:rsid w:val="006D0141"/>
    <w:rsid w:val="006D0181"/>
    <w:rsid w:val="006D0374"/>
    <w:rsid w:val="006D043A"/>
    <w:rsid w:val="006D06AD"/>
    <w:rsid w:val="006D06C6"/>
    <w:rsid w:val="006D0949"/>
    <w:rsid w:val="006D0A66"/>
    <w:rsid w:val="006D0A89"/>
    <w:rsid w:val="006D0FA7"/>
    <w:rsid w:val="006D10CB"/>
    <w:rsid w:val="006D1272"/>
    <w:rsid w:val="006D1349"/>
    <w:rsid w:val="006D13DB"/>
    <w:rsid w:val="006D1655"/>
    <w:rsid w:val="006D17E8"/>
    <w:rsid w:val="006D185E"/>
    <w:rsid w:val="006D18D1"/>
    <w:rsid w:val="006D1A89"/>
    <w:rsid w:val="006D1BFB"/>
    <w:rsid w:val="006D1D4D"/>
    <w:rsid w:val="006D1DCE"/>
    <w:rsid w:val="006D1E7E"/>
    <w:rsid w:val="006D1F02"/>
    <w:rsid w:val="006D204B"/>
    <w:rsid w:val="006D216C"/>
    <w:rsid w:val="006D21C3"/>
    <w:rsid w:val="006D2361"/>
    <w:rsid w:val="006D275D"/>
    <w:rsid w:val="006D27EA"/>
    <w:rsid w:val="006D2B07"/>
    <w:rsid w:val="006D2B7B"/>
    <w:rsid w:val="006D2F0E"/>
    <w:rsid w:val="006D2F79"/>
    <w:rsid w:val="006D32BA"/>
    <w:rsid w:val="006D353E"/>
    <w:rsid w:val="006D3668"/>
    <w:rsid w:val="006D39FF"/>
    <w:rsid w:val="006D3AE5"/>
    <w:rsid w:val="006D3B0F"/>
    <w:rsid w:val="006D3F8C"/>
    <w:rsid w:val="006D4362"/>
    <w:rsid w:val="006D439A"/>
    <w:rsid w:val="006D43F2"/>
    <w:rsid w:val="006D4446"/>
    <w:rsid w:val="006D451E"/>
    <w:rsid w:val="006D4660"/>
    <w:rsid w:val="006D486D"/>
    <w:rsid w:val="006D48C0"/>
    <w:rsid w:val="006D4AE6"/>
    <w:rsid w:val="006D4C55"/>
    <w:rsid w:val="006D4EC0"/>
    <w:rsid w:val="006D4FC5"/>
    <w:rsid w:val="006D50E0"/>
    <w:rsid w:val="006D51CE"/>
    <w:rsid w:val="006D52AD"/>
    <w:rsid w:val="006D534C"/>
    <w:rsid w:val="006D53FC"/>
    <w:rsid w:val="006D5806"/>
    <w:rsid w:val="006D580F"/>
    <w:rsid w:val="006D58C1"/>
    <w:rsid w:val="006D5A18"/>
    <w:rsid w:val="006D5B53"/>
    <w:rsid w:val="006D6164"/>
    <w:rsid w:val="006D62CF"/>
    <w:rsid w:val="006D6434"/>
    <w:rsid w:val="006D65BE"/>
    <w:rsid w:val="006D65F1"/>
    <w:rsid w:val="006D6705"/>
    <w:rsid w:val="006D68A0"/>
    <w:rsid w:val="006D6A2F"/>
    <w:rsid w:val="006D6B9A"/>
    <w:rsid w:val="006D6C69"/>
    <w:rsid w:val="006D6D01"/>
    <w:rsid w:val="006D722A"/>
    <w:rsid w:val="006D73E2"/>
    <w:rsid w:val="006D7699"/>
    <w:rsid w:val="006D7756"/>
    <w:rsid w:val="006D7860"/>
    <w:rsid w:val="006D79FE"/>
    <w:rsid w:val="006D7A06"/>
    <w:rsid w:val="006D7D10"/>
    <w:rsid w:val="006D7D90"/>
    <w:rsid w:val="006D7DD3"/>
    <w:rsid w:val="006D7F12"/>
    <w:rsid w:val="006E04A8"/>
    <w:rsid w:val="006E04B5"/>
    <w:rsid w:val="006E06D5"/>
    <w:rsid w:val="006E0801"/>
    <w:rsid w:val="006E0A30"/>
    <w:rsid w:val="006E0AD0"/>
    <w:rsid w:val="006E0AD3"/>
    <w:rsid w:val="006E0C85"/>
    <w:rsid w:val="006E0CE5"/>
    <w:rsid w:val="006E0D55"/>
    <w:rsid w:val="006E0E41"/>
    <w:rsid w:val="006E0E6E"/>
    <w:rsid w:val="006E1153"/>
    <w:rsid w:val="006E11CC"/>
    <w:rsid w:val="006E1445"/>
    <w:rsid w:val="006E16D6"/>
    <w:rsid w:val="006E1767"/>
    <w:rsid w:val="006E19EA"/>
    <w:rsid w:val="006E1A44"/>
    <w:rsid w:val="006E1A80"/>
    <w:rsid w:val="006E1A81"/>
    <w:rsid w:val="006E1CBF"/>
    <w:rsid w:val="006E1D22"/>
    <w:rsid w:val="006E1D5B"/>
    <w:rsid w:val="006E1F8B"/>
    <w:rsid w:val="006E2088"/>
    <w:rsid w:val="006E21D6"/>
    <w:rsid w:val="006E22C6"/>
    <w:rsid w:val="006E2303"/>
    <w:rsid w:val="006E24AC"/>
    <w:rsid w:val="006E2645"/>
    <w:rsid w:val="006E2743"/>
    <w:rsid w:val="006E293D"/>
    <w:rsid w:val="006E2972"/>
    <w:rsid w:val="006E29C0"/>
    <w:rsid w:val="006E2D2A"/>
    <w:rsid w:val="006E2DCC"/>
    <w:rsid w:val="006E2E1E"/>
    <w:rsid w:val="006E2FF2"/>
    <w:rsid w:val="006E30B0"/>
    <w:rsid w:val="006E3383"/>
    <w:rsid w:val="006E3415"/>
    <w:rsid w:val="006E367D"/>
    <w:rsid w:val="006E36C4"/>
    <w:rsid w:val="006E388E"/>
    <w:rsid w:val="006E3ABF"/>
    <w:rsid w:val="006E3CC3"/>
    <w:rsid w:val="006E3E76"/>
    <w:rsid w:val="006E3F76"/>
    <w:rsid w:val="006E405D"/>
    <w:rsid w:val="006E40D4"/>
    <w:rsid w:val="006E42FE"/>
    <w:rsid w:val="006E437B"/>
    <w:rsid w:val="006E4415"/>
    <w:rsid w:val="006E4615"/>
    <w:rsid w:val="006E4672"/>
    <w:rsid w:val="006E46D4"/>
    <w:rsid w:val="006E4761"/>
    <w:rsid w:val="006E47EB"/>
    <w:rsid w:val="006E4A00"/>
    <w:rsid w:val="006E4AB1"/>
    <w:rsid w:val="006E4B56"/>
    <w:rsid w:val="006E4B95"/>
    <w:rsid w:val="006E4C55"/>
    <w:rsid w:val="006E4C5C"/>
    <w:rsid w:val="006E4D33"/>
    <w:rsid w:val="006E4DAA"/>
    <w:rsid w:val="006E4EFF"/>
    <w:rsid w:val="006E5060"/>
    <w:rsid w:val="006E5086"/>
    <w:rsid w:val="006E5293"/>
    <w:rsid w:val="006E551D"/>
    <w:rsid w:val="006E5598"/>
    <w:rsid w:val="006E58A8"/>
    <w:rsid w:val="006E5A7B"/>
    <w:rsid w:val="006E5B68"/>
    <w:rsid w:val="006E5BD9"/>
    <w:rsid w:val="006E5CB2"/>
    <w:rsid w:val="006E5FC9"/>
    <w:rsid w:val="006E646E"/>
    <w:rsid w:val="006E65C9"/>
    <w:rsid w:val="006E6614"/>
    <w:rsid w:val="006E6673"/>
    <w:rsid w:val="006E6776"/>
    <w:rsid w:val="006E68C3"/>
    <w:rsid w:val="006E6C1D"/>
    <w:rsid w:val="006E6E39"/>
    <w:rsid w:val="006E6F4C"/>
    <w:rsid w:val="006E70B5"/>
    <w:rsid w:val="006E7154"/>
    <w:rsid w:val="006E7424"/>
    <w:rsid w:val="006E763F"/>
    <w:rsid w:val="006E7698"/>
    <w:rsid w:val="006E76B9"/>
    <w:rsid w:val="006E7A0B"/>
    <w:rsid w:val="006E7A8F"/>
    <w:rsid w:val="006E7DB8"/>
    <w:rsid w:val="006E7DEA"/>
    <w:rsid w:val="006E7ED0"/>
    <w:rsid w:val="006E7FA3"/>
    <w:rsid w:val="006F004C"/>
    <w:rsid w:val="006F01F9"/>
    <w:rsid w:val="006F03AF"/>
    <w:rsid w:val="006F03CD"/>
    <w:rsid w:val="006F03E5"/>
    <w:rsid w:val="006F0517"/>
    <w:rsid w:val="006F05B2"/>
    <w:rsid w:val="006F0668"/>
    <w:rsid w:val="006F06DA"/>
    <w:rsid w:val="006F075E"/>
    <w:rsid w:val="006F07A8"/>
    <w:rsid w:val="006F08DC"/>
    <w:rsid w:val="006F0925"/>
    <w:rsid w:val="006F0932"/>
    <w:rsid w:val="006F0998"/>
    <w:rsid w:val="006F0C8E"/>
    <w:rsid w:val="006F0D22"/>
    <w:rsid w:val="006F0DC8"/>
    <w:rsid w:val="006F0DD9"/>
    <w:rsid w:val="006F0E76"/>
    <w:rsid w:val="006F0F31"/>
    <w:rsid w:val="006F101D"/>
    <w:rsid w:val="006F1294"/>
    <w:rsid w:val="006F1A00"/>
    <w:rsid w:val="006F1E10"/>
    <w:rsid w:val="006F1E82"/>
    <w:rsid w:val="006F2178"/>
    <w:rsid w:val="006F21B5"/>
    <w:rsid w:val="006F2289"/>
    <w:rsid w:val="006F2807"/>
    <w:rsid w:val="006F2898"/>
    <w:rsid w:val="006F294C"/>
    <w:rsid w:val="006F2B24"/>
    <w:rsid w:val="006F2C9B"/>
    <w:rsid w:val="006F2D26"/>
    <w:rsid w:val="006F2FCA"/>
    <w:rsid w:val="006F3022"/>
    <w:rsid w:val="006F3075"/>
    <w:rsid w:val="006F30B6"/>
    <w:rsid w:val="006F31D1"/>
    <w:rsid w:val="006F32EF"/>
    <w:rsid w:val="006F3591"/>
    <w:rsid w:val="006F37C8"/>
    <w:rsid w:val="006F3B97"/>
    <w:rsid w:val="006F3C4F"/>
    <w:rsid w:val="006F3EE0"/>
    <w:rsid w:val="006F3FFE"/>
    <w:rsid w:val="006F407B"/>
    <w:rsid w:val="006F4084"/>
    <w:rsid w:val="006F411D"/>
    <w:rsid w:val="006F43AF"/>
    <w:rsid w:val="006F43C5"/>
    <w:rsid w:val="006F4488"/>
    <w:rsid w:val="006F4631"/>
    <w:rsid w:val="006F4B81"/>
    <w:rsid w:val="006F50E7"/>
    <w:rsid w:val="006F52F4"/>
    <w:rsid w:val="006F54E8"/>
    <w:rsid w:val="006F54F6"/>
    <w:rsid w:val="006F5580"/>
    <w:rsid w:val="006F566E"/>
    <w:rsid w:val="006F5751"/>
    <w:rsid w:val="006F57E9"/>
    <w:rsid w:val="006F5BC6"/>
    <w:rsid w:val="006F5C5A"/>
    <w:rsid w:val="006F5DA0"/>
    <w:rsid w:val="006F5DC6"/>
    <w:rsid w:val="006F5E2C"/>
    <w:rsid w:val="006F5E57"/>
    <w:rsid w:val="006F5FB7"/>
    <w:rsid w:val="006F636A"/>
    <w:rsid w:val="006F64C7"/>
    <w:rsid w:val="006F6591"/>
    <w:rsid w:val="006F68C8"/>
    <w:rsid w:val="006F6CCA"/>
    <w:rsid w:val="006F6DFB"/>
    <w:rsid w:val="006F6EFC"/>
    <w:rsid w:val="006F70CE"/>
    <w:rsid w:val="006F746A"/>
    <w:rsid w:val="006F7516"/>
    <w:rsid w:val="006F755D"/>
    <w:rsid w:val="006F7733"/>
    <w:rsid w:val="006F7CF3"/>
    <w:rsid w:val="007002FF"/>
    <w:rsid w:val="007003B4"/>
    <w:rsid w:val="007005D2"/>
    <w:rsid w:val="00700600"/>
    <w:rsid w:val="007006C7"/>
    <w:rsid w:val="0070077E"/>
    <w:rsid w:val="00700988"/>
    <w:rsid w:val="00700A55"/>
    <w:rsid w:val="00700CF9"/>
    <w:rsid w:val="00700E1A"/>
    <w:rsid w:val="00701184"/>
    <w:rsid w:val="007013DE"/>
    <w:rsid w:val="0070147A"/>
    <w:rsid w:val="0070150A"/>
    <w:rsid w:val="00701684"/>
    <w:rsid w:val="007016D4"/>
    <w:rsid w:val="00701795"/>
    <w:rsid w:val="00701A32"/>
    <w:rsid w:val="00701AC7"/>
    <w:rsid w:val="00701B35"/>
    <w:rsid w:val="00701B6A"/>
    <w:rsid w:val="00701E5C"/>
    <w:rsid w:val="00701F92"/>
    <w:rsid w:val="00702004"/>
    <w:rsid w:val="00702013"/>
    <w:rsid w:val="007021ED"/>
    <w:rsid w:val="00702260"/>
    <w:rsid w:val="00702465"/>
    <w:rsid w:val="0070254B"/>
    <w:rsid w:val="00702768"/>
    <w:rsid w:val="007028A1"/>
    <w:rsid w:val="00702B65"/>
    <w:rsid w:val="00702C42"/>
    <w:rsid w:val="0070300C"/>
    <w:rsid w:val="0070362A"/>
    <w:rsid w:val="0070369D"/>
    <w:rsid w:val="00703754"/>
    <w:rsid w:val="00703873"/>
    <w:rsid w:val="00703AFF"/>
    <w:rsid w:val="00704021"/>
    <w:rsid w:val="007041EF"/>
    <w:rsid w:val="0070454C"/>
    <w:rsid w:val="0070470D"/>
    <w:rsid w:val="007048BB"/>
    <w:rsid w:val="00704A9E"/>
    <w:rsid w:val="00704D35"/>
    <w:rsid w:val="00704E40"/>
    <w:rsid w:val="00704EFD"/>
    <w:rsid w:val="00704F8D"/>
    <w:rsid w:val="0070503D"/>
    <w:rsid w:val="007053C4"/>
    <w:rsid w:val="007053C7"/>
    <w:rsid w:val="00705413"/>
    <w:rsid w:val="00705486"/>
    <w:rsid w:val="00705502"/>
    <w:rsid w:val="007055A5"/>
    <w:rsid w:val="00705851"/>
    <w:rsid w:val="0070587A"/>
    <w:rsid w:val="007058BE"/>
    <w:rsid w:val="007059D1"/>
    <w:rsid w:val="00705AC2"/>
    <w:rsid w:val="00705ADB"/>
    <w:rsid w:val="00705BBC"/>
    <w:rsid w:val="00705DE2"/>
    <w:rsid w:val="00705DF8"/>
    <w:rsid w:val="0070635E"/>
    <w:rsid w:val="0070664B"/>
    <w:rsid w:val="007066DE"/>
    <w:rsid w:val="00706831"/>
    <w:rsid w:val="007068D6"/>
    <w:rsid w:val="007068DD"/>
    <w:rsid w:val="007068F4"/>
    <w:rsid w:val="00706927"/>
    <w:rsid w:val="0070693E"/>
    <w:rsid w:val="00706A72"/>
    <w:rsid w:val="00706A7B"/>
    <w:rsid w:val="00706B60"/>
    <w:rsid w:val="00706CE6"/>
    <w:rsid w:val="00706D6E"/>
    <w:rsid w:val="00706E8E"/>
    <w:rsid w:val="00706EE8"/>
    <w:rsid w:val="00706F40"/>
    <w:rsid w:val="00706FBB"/>
    <w:rsid w:val="007070BE"/>
    <w:rsid w:val="0070751E"/>
    <w:rsid w:val="007075E4"/>
    <w:rsid w:val="00707AEF"/>
    <w:rsid w:val="00707C1A"/>
    <w:rsid w:val="00707C52"/>
    <w:rsid w:val="00707C89"/>
    <w:rsid w:val="00707D7B"/>
    <w:rsid w:val="00710010"/>
    <w:rsid w:val="00710033"/>
    <w:rsid w:val="007100CF"/>
    <w:rsid w:val="007102A7"/>
    <w:rsid w:val="007103FC"/>
    <w:rsid w:val="0071041C"/>
    <w:rsid w:val="007105CE"/>
    <w:rsid w:val="0071076B"/>
    <w:rsid w:val="00710928"/>
    <w:rsid w:val="00710941"/>
    <w:rsid w:val="00710A1D"/>
    <w:rsid w:val="00710B8D"/>
    <w:rsid w:val="00710E62"/>
    <w:rsid w:val="00710EC8"/>
    <w:rsid w:val="00711345"/>
    <w:rsid w:val="0071160A"/>
    <w:rsid w:val="00711613"/>
    <w:rsid w:val="00711677"/>
    <w:rsid w:val="007116C8"/>
    <w:rsid w:val="0071175A"/>
    <w:rsid w:val="007119BD"/>
    <w:rsid w:val="007119CD"/>
    <w:rsid w:val="00711A95"/>
    <w:rsid w:val="00711AC9"/>
    <w:rsid w:val="00711CAA"/>
    <w:rsid w:val="00711DC6"/>
    <w:rsid w:val="00711E08"/>
    <w:rsid w:val="00712287"/>
    <w:rsid w:val="0071231D"/>
    <w:rsid w:val="00712508"/>
    <w:rsid w:val="00712647"/>
    <w:rsid w:val="00712683"/>
    <w:rsid w:val="007127C6"/>
    <w:rsid w:val="00712C07"/>
    <w:rsid w:val="00712C6C"/>
    <w:rsid w:val="00712DA2"/>
    <w:rsid w:val="00713450"/>
    <w:rsid w:val="00713459"/>
    <w:rsid w:val="00713A77"/>
    <w:rsid w:val="00713D51"/>
    <w:rsid w:val="00713F05"/>
    <w:rsid w:val="00713F58"/>
    <w:rsid w:val="007140F4"/>
    <w:rsid w:val="007141C8"/>
    <w:rsid w:val="00714321"/>
    <w:rsid w:val="007143A2"/>
    <w:rsid w:val="007143AF"/>
    <w:rsid w:val="0071467E"/>
    <w:rsid w:val="0071468A"/>
    <w:rsid w:val="00714802"/>
    <w:rsid w:val="0071480D"/>
    <w:rsid w:val="00714D2B"/>
    <w:rsid w:val="00714DE6"/>
    <w:rsid w:val="00714EA1"/>
    <w:rsid w:val="00714EF0"/>
    <w:rsid w:val="00714F1A"/>
    <w:rsid w:val="007153EF"/>
    <w:rsid w:val="00715695"/>
    <w:rsid w:val="00715767"/>
    <w:rsid w:val="007157DF"/>
    <w:rsid w:val="00715886"/>
    <w:rsid w:val="00715EFD"/>
    <w:rsid w:val="0071602A"/>
    <w:rsid w:val="0071607F"/>
    <w:rsid w:val="00716181"/>
    <w:rsid w:val="007161CB"/>
    <w:rsid w:val="00716245"/>
    <w:rsid w:val="007163B0"/>
    <w:rsid w:val="00716409"/>
    <w:rsid w:val="0071671B"/>
    <w:rsid w:val="007168C9"/>
    <w:rsid w:val="007168E2"/>
    <w:rsid w:val="00716988"/>
    <w:rsid w:val="00716A61"/>
    <w:rsid w:val="00716A7D"/>
    <w:rsid w:val="00716EBC"/>
    <w:rsid w:val="00716F39"/>
    <w:rsid w:val="00717167"/>
    <w:rsid w:val="0071716E"/>
    <w:rsid w:val="0071724F"/>
    <w:rsid w:val="007173EC"/>
    <w:rsid w:val="007174B5"/>
    <w:rsid w:val="0071778A"/>
    <w:rsid w:val="00717BE5"/>
    <w:rsid w:val="00717D73"/>
    <w:rsid w:val="00717FDE"/>
    <w:rsid w:val="00720064"/>
    <w:rsid w:val="007202BC"/>
    <w:rsid w:val="00720420"/>
    <w:rsid w:val="007204B1"/>
    <w:rsid w:val="00720567"/>
    <w:rsid w:val="0072056D"/>
    <w:rsid w:val="00720CF4"/>
    <w:rsid w:val="00720E06"/>
    <w:rsid w:val="00720F73"/>
    <w:rsid w:val="0072110E"/>
    <w:rsid w:val="007211CC"/>
    <w:rsid w:val="00721292"/>
    <w:rsid w:val="007212BC"/>
    <w:rsid w:val="00721504"/>
    <w:rsid w:val="007215B7"/>
    <w:rsid w:val="00721665"/>
    <w:rsid w:val="00721A76"/>
    <w:rsid w:val="00721B09"/>
    <w:rsid w:val="00721DAB"/>
    <w:rsid w:val="00721DC1"/>
    <w:rsid w:val="0072215E"/>
    <w:rsid w:val="00722204"/>
    <w:rsid w:val="00722718"/>
    <w:rsid w:val="00722780"/>
    <w:rsid w:val="00722A58"/>
    <w:rsid w:val="00722A69"/>
    <w:rsid w:val="00722B29"/>
    <w:rsid w:val="00722B53"/>
    <w:rsid w:val="00722E4E"/>
    <w:rsid w:val="00722F86"/>
    <w:rsid w:val="00723027"/>
    <w:rsid w:val="007231DC"/>
    <w:rsid w:val="00723249"/>
    <w:rsid w:val="00723650"/>
    <w:rsid w:val="00723A2A"/>
    <w:rsid w:val="00723F24"/>
    <w:rsid w:val="00723F2C"/>
    <w:rsid w:val="00724087"/>
    <w:rsid w:val="00724451"/>
    <w:rsid w:val="007246ED"/>
    <w:rsid w:val="007246F3"/>
    <w:rsid w:val="00724806"/>
    <w:rsid w:val="00724967"/>
    <w:rsid w:val="00724A05"/>
    <w:rsid w:val="00724A27"/>
    <w:rsid w:val="00724A2A"/>
    <w:rsid w:val="00724FF8"/>
    <w:rsid w:val="007251E0"/>
    <w:rsid w:val="0072530E"/>
    <w:rsid w:val="007253AD"/>
    <w:rsid w:val="00725640"/>
    <w:rsid w:val="00725769"/>
    <w:rsid w:val="00725B25"/>
    <w:rsid w:val="00725BE6"/>
    <w:rsid w:val="00725C73"/>
    <w:rsid w:val="00725CC9"/>
    <w:rsid w:val="00725E6F"/>
    <w:rsid w:val="00725F61"/>
    <w:rsid w:val="0072617F"/>
    <w:rsid w:val="007261E1"/>
    <w:rsid w:val="00726318"/>
    <w:rsid w:val="0072632F"/>
    <w:rsid w:val="00726550"/>
    <w:rsid w:val="0072663D"/>
    <w:rsid w:val="00726821"/>
    <w:rsid w:val="007268C2"/>
    <w:rsid w:val="00726A1A"/>
    <w:rsid w:val="00726AFE"/>
    <w:rsid w:val="00726BB4"/>
    <w:rsid w:val="00726D49"/>
    <w:rsid w:val="00726F0E"/>
    <w:rsid w:val="00726FE8"/>
    <w:rsid w:val="00727192"/>
    <w:rsid w:val="007271DF"/>
    <w:rsid w:val="0072724B"/>
    <w:rsid w:val="00727594"/>
    <w:rsid w:val="007275DB"/>
    <w:rsid w:val="00727680"/>
    <w:rsid w:val="007278B3"/>
    <w:rsid w:val="00727B1D"/>
    <w:rsid w:val="00727B57"/>
    <w:rsid w:val="00727DFF"/>
    <w:rsid w:val="00727E31"/>
    <w:rsid w:val="007301F0"/>
    <w:rsid w:val="007302C7"/>
    <w:rsid w:val="00730328"/>
    <w:rsid w:val="00730770"/>
    <w:rsid w:val="00730823"/>
    <w:rsid w:val="007308BD"/>
    <w:rsid w:val="007308C7"/>
    <w:rsid w:val="007308F1"/>
    <w:rsid w:val="00730B4B"/>
    <w:rsid w:val="00730BBB"/>
    <w:rsid w:val="00730C9C"/>
    <w:rsid w:val="00730DC5"/>
    <w:rsid w:val="00730DEF"/>
    <w:rsid w:val="00730E29"/>
    <w:rsid w:val="00730E81"/>
    <w:rsid w:val="00730EA5"/>
    <w:rsid w:val="00730EC9"/>
    <w:rsid w:val="00730EE9"/>
    <w:rsid w:val="00730F2F"/>
    <w:rsid w:val="00730FCB"/>
    <w:rsid w:val="00731233"/>
    <w:rsid w:val="00731239"/>
    <w:rsid w:val="00731294"/>
    <w:rsid w:val="00731308"/>
    <w:rsid w:val="00731351"/>
    <w:rsid w:val="00731655"/>
    <w:rsid w:val="007316AE"/>
    <w:rsid w:val="00731978"/>
    <w:rsid w:val="00731A88"/>
    <w:rsid w:val="00731F6C"/>
    <w:rsid w:val="00731FDC"/>
    <w:rsid w:val="00732117"/>
    <w:rsid w:val="007321A8"/>
    <w:rsid w:val="007327E4"/>
    <w:rsid w:val="007328BA"/>
    <w:rsid w:val="00732B4B"/>
    <w:rsid w:val="00732C1E"/>
    <w:rsid w:val="00732E09"/>
    <w:rsid w:val="00733160"/>
    <w:rsid w:val="007336FE"/>
    <w:rsid w:val="007337AD"/>
    <w:rsid w:val="00733891"/>
    <w:rsid w:val="00733B7B"/>
    <w:rsid w:val="00733BF6"/>
    <w:rsid w:val="00733EC6"/>
    <w:rsid w:val="0073442B"/>
    <w:rsid w:val="007344E4"/>
    <w:rsid w:val="00734637"/>
    <w:rsid w:val="007346B0"/>
    <w:rsid w:val="0073482C"/>
    <w:rsid w:val="00734884"/>
    <w:rsid w:val="007348C6"/>
    <w:rsid w:val="0073494E"/>
    <w:rsid w:val="007349CF"/>
    <w:rsid w:val="00734BE2"/>
    <w:rsid w:val="00734CAC"/>
    <w:rsid w:val="00734D5B"/>
    <w:rsid w:val="00735197"/>
    <w:rsid w:val="00735600"/>
    <w:rsid w:val="0073565E"/>
    <w:rsid w:val="0073577C"/>
    <w:rsid w:val="007357D5"/>
    <w:rsid w:val="0073581E"/>
    <w:rsid w:val="00735C8A"/>
    <w:rsid w:val="00735CC2"/>
    <w:rsid w:val="00736132"/>
    <w:rsid w:val="007361F2"/>
    <w:rsid w:val="0073622D"/>
    <w:rsid w:val="00736401"/>
    <w:rsid w:val="00736442"/>
    <w:rsid w:val="00736879"/>
    <w:rsid w:val="007369EA"/>
    <w:rsid w:val="00736CBB"/>
    <w:rsid w:val="00736CD9"/>
    <w:rsid w:val="00736F09"/>
    <w:rsid w:val="007371B9"/>
    <w:rsid w:val="007372B6"/>
    <w:rsid w:val="0073738A"/>
    <w:rsid w:val="00737761"/>
    <w:rsid w:val="007377BB"/>
    <w:rsid w:val="0073785B"/>
    <w:rsid w:val="007378B1"/>
    <w:rsid w:val="00737903"/>
    <w:rsid w:val="007379A1"/>
    <w:rsid w:val="007379F7"/>
    <w:rsid w:val="00737A0A"/>
    <w:rsid w:val="00737C34"/>
    <w:rsid w:val="0074006E"/>
    <w:rsid w:val="00740080"/>
    <w:rsid w:val="007400ED"/>
    <w:rsid w:val="0074017A"/>
    <w:rsid w:val="0074041B"/>
    <w:rsid w:val="007405FA"/>
    <w:rsid w:val="00740669"/>
    <w:rsid w:val="00740690"/>
    <w:rsid w:val="007406AC"/>
    <w:rsid w:val="00740770"/>
    <w:rsid w:val="007409C5"/>
    <w:rsid w:val="00740AE7"/>
    <w:rsid w:val="00740BB4"/>
    <w:rsid w:val="007410F2"/>
    <w:rsid w:val="0074111C"/>
    <w:rsid w:val="00741217"/>
    <w:rsid w:val="00741245"/>
    <w:rsid w:val="00741285"/>
    <w:rsid w:val="00741667"/>
    <w:rsid w:val="00741701"/>
    <w:rsid w:val="007417B9"/>
    <w:rsid w:val="00741E13"/>
    <w:rsid w:val="00741E48"/>
    <w:rsid w:val="00741EB1"/>
    <w:rsid w:val="00742079"/>
    <w:rsid w:val="0074214F"/>
    <w:rsid w:val="007421AF"/>
    <w:rsid w:val="007422D2"/>
    <w:rsid w:val="00742366"/>
    <w:rsid w:val="0074238D"/>
    <w:rsid w:val="007424B8"/>
    <w:rsid w:val="007424DF"/>
    <w:rsid w:val="00742599"/>
    <w:rsid w:val="007425E7"/>
    <w:rsid w:val="007426EB"/>
    <w:rsid w:val="0074298B"/>
    <w:rsid w:val="007429B7"/>
    <w:rsid w:val="00742C64"/>
    <w:rsid w:val="00742D44"/>
    <w:rsid w:val="00743105"/>
    <w:rsid w:val="0074325B"/>
    <w:rsid w:val="0074328A"/>
    <w:rsid w:val="00743608"/>
    <w:rsid w:val="00743912"/>
    <w:rsid w:val="00743B92"/>
    <w:rsid w:val="00743ECB"/>
    <w:rsid w:val="00744055"/>
    <w:rsid w:val="007440CB"/>
    <w:rsid w:val="007442C3"/>
    <w:rsid w:val="007443BF"/>
    <w:rsid w:val="007443EC"/>
    <w:rsid w:val="00744484"/>
    <w:rsid w:val="007444E7"/>
    <w:rsid w:val="007445F9"/>
    <w:rsid w:val="00744661"/>
    <w:rsid w:val="007447C4"/>
    <w:rsid w:val="0074482E"/>
    <w:rsid w:val="00744A2C"/>
    <w:rsid w:val="00744EF9"/>
    <w:rsid w:val="00744F46"/>
    <w:rsid w:val="007450B6"/>
    <w:rsid w:val="0074511C"/>
    <w:rsid w:val="0074512F"/>
    <w:rsid w:val="0074526A"/>
    <w:rsid w:val="007452F2"/>
    <w:rsid w:val="00745746"/>
    <w:rsid w:val="00745EC5"/>
    <w:rsid w:val="0074602C"/>
    <w:rsid w:val="00746093"/>
    <w:rsid w:val="007460F9"/>
    <w:rsid w:val="00746150"/>
    <w:rsid w:val="007463EE"/>
    <w:rsid w:val="0074696B"/>
    <w:rsid w:val="0074697E"/>
    <w:rsid w:val="00746CF2"/>
    <w:rsid w:val="00746D30"/>
    <w:rsid w:val="007470A6"/>
    <w:rsid w:val="007472E1"/>
    <w:rsid w:val="007472F6"/>
    <w:rsid w:val="007476E7"/>
    <w:rsid w:val="0074772A"/>
    <w:rsid w:val="00747803"/>
    <w:rsid w:val="007478A1"/>
    <w:rsid w:val="00747D05"/>
    <w:rsid w:val="00747E2D"/>
    <w:rsid w:val="00747F72"/>
    <w:rsid w:val="00750641"/>
    <w:rsid w:val="007506E0"/>
    <w:rsid w:val="00750995"/>
    <w:rsid w:val="007509DD"/>
    <w:rsid w:val="00750A37"/>
    <w:rsid w:val="00750C0A"/>
    <w:rsid w:val="00750C45"/>
    <w:rsid w:val="00750CF1"/>
    <w:rsid w:val="00750E81"/>
    <w:rsid w:val="00750E92"/>
    <w:rsid w:val="00751057"/>
    <w:rsid w:val="007511BB"/>
    <w:rsid w:val="007512D5"/>
    <w:rsid w:val="007517A1"/>
    <w:rsid w:val="0075186D"/>
    <w:rsid w:val="007518E1"/>
    <w:rsid w:val="007519F9"/>
    <w:rsid w:val="00751A35"/>
    <w:rsid w:val="00751BCF"/>
    <w:rsid w:val="00751C41"/>
    <w:rsid w:val="00751C9B"/>
    <w:rsid w:val="00751EDF"/>
    <w:rsid w:val="00751F84"/>
    <w:rsid w:val="007520AD"/>
    <w:rsid w:val="0075222B"/>
    <w:rsid w:val="007522DE"/>
    <w:rsid w:val="0075230C"/>
    <w:rsid w:val="00752373"/>
    <w:rsid w:val="007525CF"/>
    <w:rsid w:val="007525DD"/>
    <w:rsid w:val="00752AE7"/>
    <w:rsid w:val="00752C51"/>
    <w:rsid w:val="00752EA8"/>
    <w:rsid w:val="007531A7"/>
    <w:rsid w:val="00753335"/>
    <w:rsid w:val="007536D2"/>
    <w:rsid w:val="0075383F"/>
    <w:rsid w:val="00753942"/>
    <w:rsid w:val="0075397D"/>
    <w:rsid w:val="00753B25"/>
    <w:rsid w:val="00753B8A"/>
    <w:rsid w:val="00753BF6"/>
    <w:rsid w:val="00753CC7"/>
    <w:rsid w:val="00753E85"/>
    <w:rsid w:val="00753F83"/>
    <w:rsid w:val="00754003"/>
    <w:rsid w:val="00754061"/>
    <w:rsid w:val="0075416D"/>
    <w:rsid w:val="007543D2"/>
    <w:rsid w:val="00754550"/>
    <w:rsid w:val="0075458B"/>
    <w:rsid w:val="0075463E"/>
    <w:rsid w:val="00754713"/>
    <w:rsid w:val="0075478D"/>
    <w:rsid w:val="00754897"/>
    <w:rsid w:val="00754931"/>
    <w:rsid w:val="00754CD5"/>
    <w:rsid w:val="00754CE8"/>
    <w:rsid w:val="00754D6D"/>
    <w:rsid w:val="00754DE7"/>
    <w:rsid w:val="00754DF7"/>
    <w:rsid w:val="00754E83"/>
    <w:rsid w:val="00754F4C"/>
    <w:rsid w:val="00754FEF"/>
    <w:rsid w:val="007551F1"/>
    <w:rsid w:val="007552DB"/>
    <w:rsid w:val="007555BB"/>
    <w:rsid w:val="00755777"/>
    <w:rsid w:val="007557D7"/>
    <w:rsid w:val="0075583E"/>
    <w:rsid w:val="00755EAA"/>
    <w:rsid w:val="00755F94"/>
    <w:rsid w:val="007564DF"/>
    <w:rsid w:val="007564E8"/>
    <w:rsid w:val="00756513"/>
    <w:rsid w:val="00756847"/>
    <w:rsid w:val="00756A10"/>
    <w:rsid w:val="00756D60"/>
    <w:rsid w:val="00756EED"/>
    <w:rsid w:val="007571A2"/>
    <w:rsid w:val="007571EB"/>
    <w:rsid w:val="007573F4"/>
    <w:rsid w:val="0075763C"/>
    <w:rsid w:val="007577EB"/>
    <w:rsid w:val="00757841"/>
    <w:rsid w:val="00757961"/>
    <w:rsid w:val="00757A9C"/>
    <w:rsid w:val="00757BED"/>
    <w:rsid w:val="00757C6B"/>
    <w:rsid w:val="00757CC3"/>
    <w:rsid w:val="00757ED4"/>
    <w:rsid w:val="00757F99"/>
    <w:rsid w:val="00760074"/>
    <w:rsid w:val="00760236"/>
    <w:rsid w:val="00760256"/>
    <w:rsid w:val="00760261"/>
    <w:rsid w:val="00760291"/>
    <w:rsid w:val="007602DA"/>
    <w:rsid w:val="00760469"/>
    <w:rsid w:val="007604AB"/>
    <w:rsid w:val="007604DE"/>
    <w:rsid w:val="00760655"/>
    <w:rsid w:val="0076073C"/>
    <w:rsid w:val="00760760"/>
    <w:rsid w:val="00760792"/>
    <w:rsid w:val="007607A1"/>
    <w:rsid w:val="007608E3"/>
    <w:rsid w:val="00760993"/>
    <w:rsid w:val="007609F2"/>
    <w:rsid w:val="00760A87"/>
    <w:rsid w:val="00760C4F"/>
    <w:rsid w:val="00760DD9"/>
    <w:rsid w:val="00760E45"/>
    <w:rsid w:val="0076118A"/>
    <w:rsid w:val="00761379"/>
    <w:rsid w:val="0076149B"/>
    <w:rsid w:val="007615B0"/>
    <w:rsid w:val="007615FB"/>
    <w:rsid w:val="0076178E"/>
    <w:rsid w:val="00761854"/>
    <w:rsid w:val="0076192C"/>
    <w:rsid w:val="0076195C"/>
    <w:rsid w:val="00761A15"/>
    <w:rsid w:val="00761C70"/>
    <w:rsid w:val="00761C87"/>
    <w:rsid w:val="00761DD4"/>
    <w:rsid w:val="00761F35"/>
    <w:rsid w:val="00762361"/>
    <w:rsid w:val="0076236A"/>
    <w:rsid w:val="007623A6"/>
    <w:rsid w:val="0076254E"/>
    <w:rsid w:val="00762CD4"/>
    <w:rsid w:val="00762D72"/>
    <w:rsid w:val="00762FCE"/>
    <w:rsid w:val="007631A7"/>
    <w:rsid w:val="007631FE"/>
    <w:rsid w:val="007632EA"/>
    <w:rsid w:val="0076340E"/>
    <w:rsid w:val="00763474"/>
    <w:rsid w:val="00763794"/>
    <w:rsid w:val="00763871"/>
    <w:rsid w:val="00763C3A"/>
    <w:rsid w:val="00763C95"/>
    <w:rsid w:val="00763D64"/>
    <w:rsid w:val="00763E43"/>
    <w:rsid w:val="00764504"/>
    <w:rsid w:val="007646ED"/>
    <w:rsid w:val="007646F3"/>
    <w:rsid w:val="0076497C"/>
    <w:rsid w:val="007649AB"/>
    <w:rsid w:val="00764A84"/>
    <w:rsid w:val="00764E6B"/>
    <w:rsid w:val="0076538D"/>
    <w:rsid w:val="007653E4"/>
    <w:rsid w:val="00765405"/>
    <w:rsid w:val="00765408"/>
    <w:rsid w:val="00765554"/>
    <w:rsid w:val="00765693"/>
    <w:rsid w:val="007657D9"/>
    <w:rsid w:val="007657E7"/>
    <w:rsid w:val="00765906"/>
    <w:rsid w:val="0076593E"/>
    <w:rsid w:val="00765A68"/>
    <w:rsid w:val="00765B3A"/>
    <w:rsid w:val="00765BCE"/>
    <w:rsid w:val="00765C0B"/>
    <w:rsid w:val="00765CAE"/>
    <w:rsid w:val="00765F0D"/>
    <w:rsid w:val="00766184"/>
    <w:rsid w:val="007661ED"/>
    <w:rsid w:val="007662F7"/>
    <w:rsid w:val="00766517"/>
    <w:rsid w:val="0076655E"/>
    <w:rsid w:val="00766626"/>
    <w:rsid w:val="00766804"/>
    <w:rsid w:val="007668F7"/>
    <w:rsid w:val="00766998"/>
    <w:rsid w:val="00766A37"/>
    <w:rsid w:val="00766F4E"/>
    <w:rsid w:val="00767173"/>
    <w:rsid w:val="00767399"/>
    <w:rsid w:val="007674BC"/>
    <w:rsid w:val="00767508"/>
    <w:rsid w:val="0076756A"/>
    <w:rsid w:val="0076763A"/>
    <w:rsid w:val="0076774A"/>
    <w:rsid w:val="00767795"/>
    <w:rsid w:val="007677B7"/>
    <w:rsid w:val="00767954"/>
    <w:rsid w:val="00767B31"/>
    <w:rsid w:val="00767C26"/>
    <w:rsid w:val="00767FB6"/>
    <w:rsid w:val="00767FD3"/>
    <w:rsid w:val="00770303"/>
    <w:rsid w:val="007704C0"/>
    <w:rsid w:val="007708E8"/>
    <w:rsid w:val="00770A01"/>
    <w:rsid w:val="00770C32"/>
    <w:rsid w:val="00770D09"/>
    <w:rsid w:val="00770D71"/>
    <w:rsid w:val="00770DAF"/>
    <w:rsid w:val="00771016"/>
    <w:rsid w:val="0077110B"/>
    <w:rsid w:val="007711FF"/>
    <w:rsid w:val="007714C5"/>
    <w:rsid w:val="00771806"/>
    <w:rsid w:val="0077192A"/>
    <w:rsid w:val="007719E6"/>
    <w:rsid w:val="00771A1D"/>
    <w:rsid w:val="00771ABB"/>
    <w:rsid w:val="00771AC4"/>
    <w:rsid w:val="00771B9B"/>
    <w:rsid w:val="00771CB2"/>
    <w:rsid w:val="00771D92"/>
    <w:rsid w:val="00771E18"/>
    <w:rsid w:val="00772297"/>
    <w:rsid w:val="007722FF"/>
    <w:rsid w:val="007727C0"/>
    <w:rsid w:val="00772964"/>
    <w:rsid w:val="00772987"/>
    <w:rsid w:val="00772E98"/>
    <w:rsid w:val="00773174"/>
    <w:rsid w:val="0077332A"/>
    <w:rsid w:val="00773822"/>
    <w:rsid w:val="00773A36"/>
    <w:rsid w:val="00773ABF"/>
    <w:rsid w:val="00773B18"/>
    <w:rsid w:val="00773D1A"/>
    <w:rsid w:val="00773F9C"/>
    <w:rsid w:val="0077400A"/>
    <w:rsid w:val="0077411E"/>
    <w:rsid w:val="00774293"/>
    <w:rsid w:val="00774322"/>
    <w:rsid w:val="00774434"/>
    <w:rsid w:val="00774459"/>
    <w:rsid w:val="00774720"/>
    <w:rsid w:val="00774755"/>
    <w:rsid w:val="007747B9"/>
    <w:rsid w:val="0077494B"/>
    <w:rsid w:val="00774A6E"/>
    <w:rsid w:val="00774A82"/>
    <w:rsid w:val="00774BCD"/>
    <w:rsid w:val="00774D1A"/>
    <w:rsid w:val="00775016"/>
    <w:rsid w:val="007752FF"/>
    <w:rsid w:val="007754AA"/>
    <w:rsid w:val="00775899"/>
    <w:rsid w:val="00775983"/>
    <w:rsid w:val="00775998"/>
    <w:rsid w:val="00775B54"/>
    <w:rsid w:val="00775D3A"/>
    <w:rsid w:val="00775FA3"/>
    <w:rsid w:val="0077618B"/>
    <w:rsid w:val="00776581"/>
    <w:rsid w:val="007767DC"/>
    <w:rsid w:val="00776810"/>
    <w:rsid w:val="00776940"/>
    <w:rsid w:val="00776BD0"/>
    <w:rsid w:val="00776BF5"/>
    <w:rsid w:val="00776C40"/>
    <w:rsid w:val="00776CAA"/>
    <w:rsid w:val="00777179"/>
    <w:rsid w:val="0077735B"/>
    <w:rsid w:val="00777390"/>
    <w:rsid w:val="007773D3"/>
    <w:rsid w:val="00777557"/>
    <w:rsid w:val="007777F2"/>
    <w:rsid w:val="0077780C"/>
    <w:rsid w:val="0077784B"/>
    <w:rsid w:val="007779A3"/>
    <w:rsid w:val="00777D2F"/>
    <w:rsid w:val="00777DBF"/>
    <w:rsid w:val="00777FEF"/>
    <w:rsid w:val="007800A2"/>
    <w:rsid w:val="00780657"/>
    <w:rsid w:val="00780796"/>
    <w:rsid w:val="007807E9"/>
    <w:rsid w:val="007808C9"/>
    <w:rsid w:val="00780A79"/>
    <w:rsid w:val="00780AFB"/>
    <w:rsid w:val="00780B78"/>
    <w:rsid w:val="00780CB3"/>
    <w:rsid w:val="00780E8F"/>
    <w:rsid w:val="00780F0B"/>
    <w:rsid w:val="007811BE"/>
    <w:rsid w:val="007812E6"/>
    <w:rsid w:val="00781541"/>
    <w:rsid w:val="0078176B"/>
    <w:rsid w:val="0078199A"/>
    <w:rsid w:val="00781ABE"/>
    <w:rsid w:val="00781BD4"/>
    <w:rsid w:val="00781D35"/>
    <w:rsid w:val="00781DC9"/>
    <w:rsid w:val="00781E2A"/>
    <w:rsid w:val="00781F93"/>
    <w:rsid w:val="00782073"/>
    <w:rsid w:val="007822CD"/>
    <w:rsid w:val="007824E1"/>
    <w:rsid w:val="0078257B"/>
    <w:rsid w:val="00782AED"/>
    <w:rsid w:val="00782BEA"/>
    <w:rsid w:val="00782C8D"/>
    <w:rsid w:val="00782DCF"/>
    <w:rsid w:val="00782F04"/>
    <w:rsid w:val="00782F6F"/>
    <w:rsid w:val="00782FCA"/>
    <w:rsid w:val="0078313E"/>
    <w:rsid w:val="0078326B"/>
    <w:rsid w:val="0078328B"/>
    <w:rsid w:val="007832DF"/>
    <w:rsid w:val="00783555"/>
    <w:rsid w:val="007839B7"/>
    <w:rsid w:val="00783CA4"/>
    <w:rsid w:val="00783D39"/>
    <w:rsid w:val="00783D75"/>
    <w:rsid w:val="00783D94"/>
    <w:rsid w:val="00783DD8"/>
    <w:rsid w:val="00783EFA"/>
    <w:rsid w:val="0078423C"/>
    <w:rsid w:val="0078424F"/>
    <w:rsid w:val="007843B5"/>
    <w:rsid w:val="007844A9"/>
    <w:rsid w:val="00784950"/>
    <w:rsid w:val="00784AE7"/>
    <w:rsid w:val="00784BD1"/>
    <w:rsid w:val="00784BF1"/>
    <w:rsid w:val="00784C0A"/>
    <w:rsid w:val="00784C23"/>
    <w:rsid w:val="00784C58"/>
    <w:rsid w:val="00784CA9"/>
    <w:rsid w:val="00784F97"/>
    <w:rsid w:val="007852BC"/>
    <w:rsid w:val="00785316"/>
    <w:rsid w:val="0078541B"/>
    <w:rsid w:val="0078568E"/>
    <w:rsid w:val="0078589E"/>
    <w:rsid w:val="007859D7"/>
    <w:rsid w:val="00785DA0"/>
    <w:rsid w:val="00785ED3"/>
    <w:rsid w:val="00785F13"/>
    <w:rsid w:val="00785FA0"/>
    <w:rsid w:val="00786192"/>
    <w:rsid w:val="00786468"/>
    <w:rsid w:val="007864C7"/>
    <w:rsid w:val="007864D4"/>
    <w:rsid w:val="00786619"/>
    <w:rsid w:val="00786739"/>
    <w:rsid w:val="00786911"/>
    <w:rsid w:val="00786AEA"/>
    <w:rsid w:val="00786CBE"/>
    <w:rsid w:val="00786E2D"/>
    <w:rsid w:val="007871DA"/>
    <w:rsid w:val="00787265"/>
    <w:rsid w:val="00787462"/>
    <w:rsid w:val="007875C9"/>
    <w:rsid w:val="0078794C"/>
    <w:rsid w:val="00787B06"/>
    <w:rsid w:val="00787B42"/>
    <w:rsid w:val="00787C25"/>
    <w:rsid w:val="00787D49"/>
    <w:rsid w:val="00787DAA"/>
    <w:rsid w:val="00787E78"/>
    <w:rsid w:val="00787E8B"/>
    <w:rsid w:val="007901A8"/>
    <w:rsid w:val="00790217"/>
    <w:rsid w:val="00790313"/>
    <w:rsid w:val="007903F9"/>
    <w:rsid w:val="00790495"/>
    <w:rsid w:val="007905A7"/>
    <w:rsid w:val="00790606"/>
    <w:rsid w:val="00790710"/>
    <w:rsid w:val="00790A96"/>
    <w:rsid w:val="00790AF8"/>
    <w:rsid w:val="00790C0C"/>
    <w:rsid w:val="00790D31"/>
    <w:rsid w:val="00790DEA"/>
    <w:rsid w:val="00790E06"/>
    <w:rsid w:val="00790F8A"/>
    <w:rsid w:val="00791245"/>
    <w:rsid w:val="0079134F"/>
    <w:rsid w:val="00791373"/>
    <w:rsid w:val="00791409"/>
    <w:rsid w:val="00791633"/>
    <w:rsid w:val="00791678"/>
    <w:rsid w:val="007916A0"/>
    <w:rsid w:val="00791762"/>
    <w:rsid w:val="00791AD9"/>
    <w:rsid w:val="00791B6D"/>
    <w:rsid w:val="00791B94"/>
    <w:rsid w:val="00791DC7"/>
    <w:rsid w:val="00792156"/>
    <w:rsid w:val="007923A3"/>
    <w:rsid w:val="007924D5"/>
    <w:rsid w:val="007925CB"/>
    <w:rsid w:val="00792643"/>
    <w:rsid w:val="00792656"/>
    <w:rsid w:val="00792727"/>
    <w:rsid w:val="00792867"/>
    <w:rsid w:val="007928FE"/>
    <w:rsid w:val="00792A84"/>
    <w:rsid w:val="00792CCA"/>
    <w:rsid w:val="00792F71"/>
    <w:rsid w:val="00792FBE"/>
    <w:rsid w:val="00793010"/>
    <w:rsid w:val="00793110"/>
    <w:rsid w:val="00793126"/>
    <w:rsid w:val="00793185"/>
    <w:rsid w:val="007933D9"/>
    <w:rsid w:val="00793429"/>
    <w:rsid w:val="00793479"/>
    <w:rsid w:val="007935E4"/>
    <w:rsid w:val="00793610"/>
    <w:rsid w:val="0079363A"/>
    <w:rsid w:val="0079389F"/>
    <w:rsid w:val="00793A49"/>
    <w:rsid w:val="00793ABD"/>
    <w:rsid w:val="00793AC4"/>
    <w:rsid w:val="00793BAF"/>
    <w:rsid w:val="00794147"/>
    <w:rsid w:val="007942EB"/>
    <w:rsid w:val="00794627"/>
    <w:rsid w:val="00794B40"/>
    <w:rsid w:val="00794C2C"/>
    <w:rsid w:val="00795333"/>
    <w:rsid w:val="007954B6"/>
    <w:rsid w:val="007954C4"/>
    <w:rsid w:val="007955B4"/>
    <w:rsid w:val="00795874"/>
    <w:rsid w:val="00795A72"/>
    <w:rsid w:val="00795BD1"/>
    <w:rsid w:val="00795CC1"/>
    <w:rsid w:val="00795CCC"/>
    <w:rsid w:val="00795DB8"/>
    <w:rsid w:val="00795EB9"/>
    <w:rsid w:val="00795F39"/>
    <w:rsid w:val="007961F2"/>
    <w:rsid w:val="007962A1"/>
    <w:rsid w:val="0079647B"/>
    <w:rsid w:val="007964AB"/>
    <w:rsid w:val="0079658E"/>
    <w:rsid w:val="007967B0"/>
    <w:rsid w:val="007967DE"/>
    <w:rsid w:val="007969BB"/>
    <w:rsid w:val="00796A79"/>
    <w:rsid w:val="00796A90"/>
    <w:rsid w:val="00796B31"/>
    <w:rsid w:val="00796B92"/>
    <w:rsid w:val="00796E26"/>
    <w:rsid w:val="00797034"/>
    <w:rsid w:val="0079713F"/>
    <w:rsid w:val="007971AF"/>
    <w:rsid w:val="00797368"/>
    <w:rsid w:val="007973C7"/>
    <w:rsid w:val="00797512"/>
    <w:rsid w:val="00797634"/>
    <w:rsid w:val="0079785A"/>
    <w:rsid w:val="00797882"/>
    <w:rsid w:val="00797B67"/>
    <w:rsid w:val="00797C89"/>
    <w:rsid w:val="00797F78"/>
    <w:rsid w:val="00797F95"/>
    <w:rsid w:val="007A052F"/>
    <w:rsid w:val="007A0605"/>
    <w:rsid w:val="007A06C6"/>
    <w:rsid w:val="007A080B"/>
    <w:rsid w:val="007A0D7E"/>
    <w:rsid w:val="007A0F76"/>
    <w:rsid w:val="007A0FE7"/>
    <w:rsid w:val="007A1009"/>
    <w:rsid w:val="007A1079"/>
    <w:rsid w:val="007A11BD"/>
    <w:rsid w:val="007A11FF"/>
    <w:rsid w:val="007A12CE"/>
    <w:rsid w:val="007A1443"/>
    <w:rsid w:val="007A145B"/>
    <w:rsid w:val="007A19A6"/>
    <w:rsid w:val="007A1A98"/>
    <w:rsid w:val="007A1D11"/>
    <w:rsid w:val="007A1D90"/>
    <w:rsid w:val="007A1E98"/>
    <w:rsid w:val="007A1FA9"/>
    <w:rsid w:val="007A225A"/>
    <w:rsid w:val="007A240F"/>
    <w:rsid w:val="007A2496"/>
    <w:rsid w:val="007A24EA"/>
    <w:rsid w:val="007A2D60"/>
    <w:rsid w:val="007A2DC1"/>
    <w:rsid w:val="007A2ED8"/>
    <w:rsid w:val="007A2F62"/>
    <w:rsid w:val="007A304A"/>
    <w:rsid w:val="007A3066"/>
    <w:rsid w:val="007A34FF"/>
    <w:rsid w:val="007A3605"/>
    <w:rsid w:val="007A3803"/>
    <w:rsid w:val="007A3813"/>
    <w:rsid w:val="007A3897"/>
    <w:rsid w:val="007A3B77"/>
    <w:rsid w:val="007A3B94"/>
    <w:rsid w:val="007A3BC2"/>
    <w:rsid w:val="007A3D83"/>
    <w:rsid w:val="007A4364"/>
    <w:rsid w:val="007A4494"/>
    <w:rsid w:val="007A4713"/>
    <w:rsid w:val="007A4820"/>
    <w:rsid w:val="007A482C"/>
    <w:rsid w:val="007A4962"/>
    <w:rsid w:val="007A499E"/>
    <w:rsid w:val="007A4A23"/>
    <w:rsid w:val="007A4AE0"/>
    <w:rsid w:val="007A4C10"/>
    <w:rsid w:val="007A4C22"/>
    <w:rsid w:val="007A509E"/>
    <w:rsid w:val="007A51A7"/>
    <w:rsid w:val="007A51DD"/>
    <w:rsid w:val="007A5381"/>
    <w:rsid w:val="007A538E"/>
    <w:rsid w:val="007A53DC"/>
    <w:rsid w:val="007A557A"/>
    <w:rsid w:val="007A59A6"/>
    <w:rsid w:val="007A59F9"/>
    <w:rsid w:val="007A5A9A"/>
    <w:rsid w:val="007A5C74"/>
    <w:rsid w:val="007A5D94"/>
    <w:rsid w:val="007A5E6C"/>
    <w:rsid w:val="007A5EAD"/>
    <w:rsid w:val="007A6127"/>
    <w:rsid w:val="007A614B"/>
    <w:rsid w:val="007A62D3"/>
    <w:rsid w:val="007A62F2"/>
    <w:rsid w:val="007A6516"/>
    <w:rsid w:val="007A6906"/>
    <w:rsid w:val="007A6F54"/>
    <w:rsid w:val="007A6F7A"/>
    <w:rsid w:val="007A711E"/>
    <w:rsid w:val="007A73F2"/>
    <w:rsid w:val="007A760E"/>
    <w:rsid w:val="007A7669"/>
    <w:rsid w:val="007A789B"/>
    <w:rsid w:val="007B0000"/>
    <w:rsid w:val="007B0609"/>
    <w:rsid w:val="007B070B"/>
    <w:rsid w:val="007B0A3D"/>
    <w:rsid w:val="007B0F12"/>
    <w:rsid w:val="007B110A"/>
    <w:rsid w:val="007B11DE"/>
    <w:rsid w:val="007B1339"/>
    <w:rsid w:val="007B15FB"/>
    <w:rsid w:val="007B1760"/>
    <w:rsid w:val="007B1821"/>
    <w:rsid w:val="007B1846"/>
    <w:rsid w:val="007B1A43"/>
    <w:rsid w:val="007B1B22"/>
    <w:rsid w:val="007B1B8C"/>
    <w:rsid w:val="007B209D"/>
    <w:rsid w:val="007B20DB"/>
    <w:rsid w:val="007B2153"/>
    <w:rsid w:val="007B2419"/>
    <w:rsid w:val="007B263B"/>
    <w:rsid w:val="007B2677"/>
    <w:rsid w:val="007B2831"/>
    <w:rsid w:val="007B295C"/>
    <w:rsid w:val="007B2BC3"/>
    <w:rsid w:val="007B2C2E"/>
    <w:rsid w:val="007B3006"/>
    <w:rsid w:val="007B32BF"/>
    <w:rsid w:val="007B3322"/>
    <w:rsid w:val="007B3356"/>
    <w:rsid w:val="007B3398"/>
    <w:rsid w:val="007B359A"/>
    <w:rsid w:val="007B35CF"/>
    <w:rsid w:val="007B365F"/>
    <w:rsid w:val="007B3715"/>
    <w:rsid w:val="007B3919"/>
    <w:rsid w:val="007B3981"/>
    <w:rsid w:val="007B3ACB"/>
    <w:rsid w:val="007B3B04"/>
    <w:rsid w:val="007B3BD3"/>
    <w:rsid w:val="007B3C0F"/>
    <w:rsid w:val="007B3E0E"/>
    <w:rsid w:val="007B41EA"/>
    <w:rsid w:val="007B41F7"/>
    <w:rsid w:val="007B4222"/>
    <w:rsid w:val="007B42B3"/>
    <w:rsid w:val="007B4382"/>
    <w:rsid w:val="007B44EF"/>
    <w:rsid w:val="007B46DC"/>
    <w:rsid w:val="007B47DC"/>
    <w:rsid w:val="007B4890"/>
    <w:rsid w:val="007B4AAB"/>
    <w:rsid w:val="007B4DB3"/>
    <w:rsid w:val="007B532B"/>
    <w:rsid w:val="007B54DF"/>
    <w:rsid w:val="007B54E3"/>
    <w:rsid w:val="007B5589"/>
    <w:rsid w:val="007B5753"/>
    <w:rsid w:val="007B58E0"/>
    <w:rsid w:val="007B5907"/>
    <w:rsid w:val="007B5D6B"/>
    <w:rsid w:val="007B5DFC"/>
    <w:rsid w:val="007B5DFE"/>
    <w:rsid w:val="007B5E1D"/>
    <w:rsid w:val="007B5E5E"/>
    <w:rsid w:val="007B5F5D"/>
    <w:rsid w:val="007B607F"/>
    <w:rsid w:val="007B6142"/>
    <w:rsid w:val="007B616D"/>
    <w:rsid w:val="007B61A7"/>
    <w:rsid w:val="007B639C"/>
    <w:rsid w:val="007B64BF"/>
    <w:rsid w:val="007B657E"/>
    <w:rsid w:val="007B65E5"/>
    <w:rsid w:val="007B665D"/>
    <w:rsid w:val="007B68BE"/>
    <w:rsid w:val="007B69D4"/>
    <w:rsid w:val="007B6CE1"/>
    <w:rsid w:val="007B6F55"/>
    <w:rsid w:val="007B6FCE"/>
    <w:rsid w:val="007B70B7"/>
    <w:rsid w:val="007B720B"/>
    <w:rsid w:val="007B7275"/>
    <w:rsid w:val="007B74A0"/>
    <w:rsid w:val="007B752E"/>
    <w:rsid w:val="007B7583"/>
    <w:rsid w:val="007B76AB"/>
    <w:rsid w:val="007B77F6"/>
    <w:rsid w:val="007B7D92"/>
    <w:rsid w:val="007B7EA4"/>
    <w:rsid w:val="007B7F16"/>
    <w:rsid w:val="007C0291"/>
    <w:rsid w:val="007C038A"/>
    <w:rsid w:val="007C0949"/>
    <w:rsid w:val="007C0AE9"/>
    <w:rsid w:val="007C0AFD"/>
    <w:rsid w:val="007C0D5F"/>
    <w:rsid w:val="007C0EFE"/>
    <w:rsid w:val="007C0FB8"/>
    <w:rsid w:val="007C107E"/>
    <w:rsid w:val="007C12A7"/>
    <w:rsid w:val="007C145E"/>
    <w:rsid w:val="007C1564"/>
    <w:rsid w:val="007C1778"/>
    <w:rsid w:val="007C1829"/>
    <w:rsid w:val="007C1857"/>
    <w:rsid w:val="007C18B0"/>
    <w:rsid w:val="007C1926"/>
    <w:rsid w:val="007C1996"/>
    <w:rsid w:val="007C1BC9"/>
    <w:rsid w:val="007C1C1D"/>
    <w:rsid w:val="007C1C3B"/>
    <w:rsid w:val="007C1CF5"/>
    <w:rsid w:val="007C1D45"/>
    <w:rsid w:val="007C207C"/>
    <w:rsid w:val="007C2561"/>
    <w:rsid w:val="007C2943"/>
    <w:rsid w:val="007C2989"/>
    <w:rsid w:val="007C30CD"/>
    <w:rsid w:val="007C3277"/>
    <w:rsid w:val="007C3536"/>
    <w:rsid w:val="007C3628"/>
    <w:rsid w:val="007C368C"/>
    <w:rsid w:val="007C3727"/>
    <w:rsid w:val="007C372C"/>
    <w:rsid w:val="007C3753"/>
    <w:rsid w:val="007C381D"/>
    <w:rsid w:val="007C3A1B"/>
    <w:rsid w:val="007C3B5E"/>
    <w:rsid w:val="007C3B96"/>
    <w:rsid w:val="007C3D78"/>
    <w:rsid w:val="007C3D7A"/>
    <w:rsid w:val="007C3DE3"/>
    <w:rsid w:val="007C3F4C"/>
    <w:rsid w:val="007C409F"/>
    <w:rsid w:val="007C4197"/>
    <w:rsid w:val="007C44C2"/>
    <w:rsid w:val="007C4697"/>
    <w:rsid w:val="007C46C3"/>
    <w:rsid w:val="007C476A"/>
    <w:rsid w:val="007C490A"/>
    <w:rsid w:val="007C494C"/>
    <w:rsid w:val="007C4A82"/>
    <w:rsid w:val="007C4A8D"/>
    <w:rsid w:val="007C4BE3"/>
    <w:rsid w:val="007C4BEF"/>
    <w:rsid w:val="007C5029"/>
    <w:rsid w:val="007C53C5"/>
    <w:rsid w:val="007C543D"/>
    <w:rsid w:val="007C553D"/>
    <w:rsid w:val="007C55F9"/>
    <w:rsid w:val="007C561D"/>
    <w:rsid w:val="007C5632"/>
    <w:rsid w:val="007C579D"/>
    <w:rsid w:val="007C588B"/>
    <w:rsid w:val="007C596A"/>
    <w:rsid w:val="007C5C34"/>
    <w:rsid w:val="007C5CB2"/>
    <w:rsid w:val="007C5CBD"/>
    <w:rsid w:val="007C5CC7"/>
    <w:rsid w:val="007C6136"/>
    <w:rsid w:val="007C629C"/>
    <w:rsid w:val="007C6376"/>
    <w:rsid w:val="007C6657"/>
    <w:rsid w:val="007C6706"/>
    <w:rsid w:val="007C6722"/>
    <w:rsid w:val="007C67EF"/>
    <w:rsid w:val="007C6ADC"/>
    <w:rsid w:val="007C6C1E"/>
    <w:rsid w:val="007C6DD6"/>
    <w:rsid w:val="007C6E1E"/>
    <w:rsid w:val="007C7479"/>
    <w:rsid w:val="007C7654"/>
    <w:rsid w:val="007C778C"/>
    <w:rsid w:val="007C7BBF"/>
    <w:rsid w:val="007C7C64"/>
    <w:rsid w:val="007C7E08"/>
    <w:rsid w:val="007C7E78"/>
    <w:rsid w:val="007C7EF3"/>
    <w:rsid w:val="007D0132"/>
    <w:rsid w:val="007D02BA"/>
    <w:rsid w:val="007D0924"/>
    <w:rsid w:val="007D0BE6"/>
    <w:rsid w:val="007D0D17"/>
    <w:rsid w:val="007D0D47"/>
    <w:rsid w:val="007D0D48"/>
    <w:rsid w:val="007D0F53"/>
    <w:rsid w:val="007D1144"/>
    <w:rsid w:val="007D122E"/>
    <w:rsid w:val="007D15AC"/>
    <w:rsid w:val="007D161A"/>
    <w:rsid w:val="007D179A"/>
    <w:rsid w:val="007D183D"/>
    <w:rsid w:val="007D1907"/>
    <w:rsid w:val="007D193D"/>
    <w:rsid w:val="007D1B7E"/>
    <w:rsid w:val="007D1D68"/>
    <w:rsid w:val="007D203E"/>
    <w:rsid w:val="007D2080"/>
    <w:rsid w:val="007D2171"/>
    <w:rsid w:val="007D25DF"/>
    <w:rsid w:val="007D2688"/>
    <w:rsid w:val="007D27E3"/>
    <w:rsid w:val="007D2C5D"/>
    <w:rsid w:val="007D2C82"/>
    <w:rsid w:val="007D2EC8"/>
    <w:rsid w:val="007D3001"/>
    <w:rsid w:val="007D3103"/>
    <w:rsid w:val="007D32B9"/>
    <w:rsid w:val="007D33A3"/>
    <w:rsid w:val="007D3428"/>
    <w:rsid w:val="007D34A6"/>
    <w:rsid w:val="007D351D"/>
    <w:rsid w:val="007D3584"/>
    <w:rsid w:val="007D36D5"/>
    <w:rsid w:val="007D3927"/>
    <w:rsid w:val="007D3BCC"/>
    <w:rsid w:val="007D3C47"/>
    <w:rsid w:val="007D3C74"/>
    <w:rsid w:val="007D3E39"/>
    <w:rsid w:val="007D3E95"/>
    <w:rsid w:val="007D3FB4"/>
    <w:rsid w:val="007D406B"/>
    <w:rsid w:val="007D413C"/>
    <w:rsid w:val="007D42BE"/>
    <w:rsid w:val="007D453E"/>
    <w:rsid w:val="007D46CC"/>
    <w:rsid w:val="007D4710"/>
    <w:rsid w:val="007D48AD"/>
    <w:rsid w:val="007D4A5D"/>
    <w:rsid w:val="007D4BCD"/>
    <w:rsid w:val="007D4D7E"/>
    <w:rsid w:val="007D4EB0"/>
    <w:rsid w:val="007D4EE9"/>
    <w:rsid w:val="007D50BC"/>
    <w:rsid w:val="007D52DA"/>
    <w:rsid w:val="007D5551"/>
    <w:rsid w:val="007D575D"/>
    <w:rsid w:val="007D57F5"/>
    <w:rsid w:val="007D592B"/>
    <w:rsid w:val="007D5AA6"/>
    <w:rsid w:val="007D5D05"/>
    <w:rsid w:val="007D5ECF"/>
    <w:rsid w:val="007D6006"/>
    <w:rsid w:val="007D60C9"/>
    <w:rsid w:val="007D632D"/>
    <w:rsid w:val="007D63DB"/>
    <w:rsid w:val="007D642B"/>
    <w:rsid w:val="007D64C5"/>
    <w:rsid w:val="007D6A93"/>
    <w:rsid w:val="007D6B71"/>
    <w:rsid w:val="007D6C4C"/>
    <w:rsid w:val="007D6E8B"/>
    <w:rsid w:val="007D7029"/>
    <w:rsid w:val="007D71F6"/>
    <w:rsid w:val="007D72F3"/>
    <w:rsid w:val="007D751A"/>
    <w:rsid w:val="007D7523"/>
    <w:rsid w:val="007D7692"/>
    <w:rsid w:val="007D7A91"/>
    <w:rsid w:val="007D7A9B"/>
    <w:rsid w:val="007D7C96"/>
    <w:rsid w:val="007D7CE8"/>
    <w:rsid w:val="007D7DEF"/>
    <w:rsid w:val="007D7E46"/>
    <w:rsid w:val="007E0354"/>
    <w:rsid w:val="007E03C1"/>
    <w:rsid w:val="007E0488"/>
    <w:rsid w:val="007E0494"/>
    <w:rsid w:val="007E04D8"/>
    <w:rsid w:val="007E0555"/>
    <w:rsid w:val="007E07B0"/>
    <w:rsid w:val="007E0C2B"/>
    <w:rsid w:val="007E113C"/>
    <w:rsid w:val="007E132F"/>
    <w:rsid w:val="007E16FF"/>
    <w:rsid w:val="007E1EA4"/>
    <w:rsid w:val="007E1EB5"/>
    <w:rsid w:val="007E1F5B"/>
    <w:rsid w:val="007E20AA"/>
    <w:rsid w:val="007E22D9"/>
    <w:rsid w:val="007E2694"/>
    <w:rsid w:val="007E2ABD"/>
    <w:rsid w:val="007E2D50"/>
    <w:rsid w:val="007E2DA2"/>
    <w:rsid w:val="007E2DAC"/>
    <w:rsid w:val="007E2E26"/>
    <w:rsid w:val="007E2E70"/>
    <w:rsid w:val="007E2EEC"/>
    <w:rsid w:val="007E32A5"/>
    <w:rsid w:val="007E332E"/>
    <w:rsid w:val="007E3360"/>
    <w:rsid w:val="007E33D4"/>
    <w:rsid w:val="007E3424"/>
    <w:rsid w:val="007E3613"/>
    <w:rsid w:val="007E396E"/>
    <w:rsid w:val="007E3AAD"/>
    <w:rsid w:val="007E3BB3"/>
    <w:rsid w:val="007E3C86"/>
    <w:rsid w:val="007E3D59"/>
    <w:rsid w:val="007E3D90"/>
    <w:rsid w:val="007E3EEB"/>
    <w:rsid w:val="007E418D"/>
    <w:rsid w:val="007E45F0"/>
    <w:rsid w:val="007E45F2"/>
    <w:rsid w:val="007E465C"/>
    <w:rsid w:val="007E466B"/>
    <w:rsid w:val="007E472B"/>
    <w:rsid w:val="007E4ACA"/>
    <w:rsid w:val="007E4BF1"/>
    <w:rsid w:val="007E4C37"/>
    <w:rsid w:val="007E4C5E"/>
    <w:rsid w:val="007E5319"/>
    <w:rsid w:val="007E54F9"/>
    <w:rsid w:val="007E568F"/>
    <w:rsid w:val="007E5742"/>
    <w:rsid w:val="007E58E5"/>
    <w:rsid w:val="007E5956"/>
    <w:rsid w:val="007E5A2A"/>
    <w:rsid w:val="007E5A80"/>
    <w:rsid w:val="007E5AF6"/>
    <w:rsid w:val="007E5B9F"/>
    <w:rsid w:val="007E5D76"/>
    <w:rsid w:val="007E5F4A"/>
    <w:rsid w:val="007E5F76"/>
    <w:rsid w:val="007E610C"/>
    <w:rsid w:val="007E6156"/>
    <w:rsid w:val="007E61BE"/>
    <w:rsid w:val="007E6456"/>
    <w:rsid w:val="007E65F1"/>
    <w:rsid w:val="007E65FE"/>
    <w:rsid w:val="007E66EB"/>
    <w:rsid w:val="007E69C2"/>
    <w:rsid w:val="007E6A82"/>
    <w:rsid w:val="007E6BA9"/>
    <w:rsid w:val="007E6D61"/>
    <w:rsid w:val="007E705C"/>
    <w:rsid w:val="007E745C"/>
    <w:rsid w:val="007E767C"/>
    <w:rsid w:val="007E768B"/>
    <w:rsid w:val="007E7856"/>
    <w:rsid w:val="007E7B61"/>
    <w:rsid w:val="007F00FD"/>
    <w:rsid w:val="007F01BF"/>
    <w:rsid w:val="007F03DE"/>
    <w:rsid w:val="007F0B85"/>
    <w:rsid w:val="007F0C9D"/>
    <w:rsid w:val="007F0D12"/>
    <w:rsid w:val="007F0F83"/>
    <w:rsid w:val="007F118B"/>
    <w:rsid w:val="007F1384"/>
    <w:rsid w:val="007F13D6"/>
    <w:rsid w:val="007F1403"/>
    <w:rsid w:val="007F1426"/>
    <w:rsid w:val="007F15BE"/>
    <w:rsid w:val="007F18EC"/>
    <w:rsid w:val="007F1958"/>
    <w:rsid w:val="007F1B0D"/>
    <w:rsid w:val="007F1E0A"/>
    <w:rsid w:val="007F1E14"/>
    <w:rsid w:val="007F1ECF"/>
    <w:rsid w:val="007F1F9C"/>
    <w:rsid w:val="007F21F9"/>
    <w:rsid w:val="007F2238"/>
    <w:rsid w:val="007F23F8"/>
    <w:rsid w:val="007F24D3"/>
    <w:rsid w:val="007F24E6"/>
    <w:rsid w:val="007F2574"/>
    <w:rsid w:val="007F2B66"/>
    <w:rsid w:val="007F2BBE"/>
    <w:rsid w:val="007F2D4D"/>
    <w:rsid w:val="007F3110"/>
    <w:rsid w:val="007F3388"/>
    <w:rsid w:val="007F3407"/>
    <w:rsid w:val="007F3675"/>
    <w:rsid w:val="007F36A1"/>
    <w:rsid w:val="007F382D"/>
    <w:rsid w:val="007F38CD"/>
    <w:rsid w:val="007F3C60"/>
    <w:rsid w:val="007F3DAD"/>
    <w:rsid w:val="007F3FFF"/>
    <w:rsid w:val="007F4327"/>
    <w:rsid w:val="007F43CF"/>
    <w:rsid w:val="007F4558"/>
    <w:rsid w:val="007F47A3"/>
    <w:rsid w:val="007F4C1B"/>
    <w:rsid w:val="007F4C8E"/>
    <w:rsid w:val="007F4C9C"/>
    <w:rsid w:val="007F4D38"/>
    <w:rsid w:val="007F5071"/>
    <w:rsid w:val="007F5087"/>
    <w:rsid w:val="007F511D"/>
    <w:rsid w:val="007F51F4"/>
    <w:rsid w:val="007F520F"/>
    <w:rsid w:val="007F52BD"/>
    <w:rsid w:val="007F54A1"/>
    <w:rsid w:val="007F5616"/>
    <w:rsid w:val="007F5760"/>
    <w:rsid w:val="007F5831"/>
    <w:rsid w:val="007F585B"/>
    <w:rsid w:val="007F599C"/>
    <w:rsid w:val="007F59C4"/>
    <w:rsid w:val="007F5A05"/>
    <w:rsid w:val="007F5AA3"/>
    <w:rsid w:val="007F5D98"/>
    <w:rsid w:val="007F5DC2"/>
    <w:rsid w:val="007F5E32"/>
    <w:rsid w:val="007F606B"/>
    <w:rsid w:val="007F61F7"/>
    <w:rsid w:val="007F6268"/>
    <w:rsid w:val="007F62EF"/>
    <w:rsid w:val="007F649D"/>
    <w:rsid w:val="007F6B2F"/>
    <w:rsid w:val="007F6B6A"/>
    <w:rsid w:val="007F6B7B"/>
    <w:rsid w:val="007F6CEB"/>
    <w:rsid w:val="007F6F54"/>
    <w:rsid w:val="007F7581"/>
    <w:rsid w:val="007F7606"/>
    <w:rsid w:val="007F76A0"/>
    <w:rsid w:val="007F78B7"/>
    <w:rsid w:val="007F7A0A"/>
    <w:rsid w:val="007F7B16"/>
    <w:rsid w:val="007F7BFB"/>
    <w:rsid w:val="007F7C09"/>
    <w:rsid w:val="007F7C0D"/>
    <w:rsid w:val="007F7F81"/>
    <w:rsid w:val="00800237"/>
    <w:rsid w:val="0080040A"/>
    <w:rsid w:val="0080082B"/>
    <w:rsid w:val="008008BB"/>
    <w:rsid w:val="00800A43"/>
    <w:rsid w:val="00800AA4"/>
    <w:rsid w:val="00800BFF"/>
    <w:rsid w:val="00800C1D"/>
    <w:rsid w:val="00800E30"/>
    <w:rsid w:val="00800E89"/>
    <w:rsid w:val="00801103"/>
    <w:rsid w:val="008012BD"/>
    <w:rsid w:val="008012F9"/>
    <w:rsid w:val="008013C5"/>
    <w:rsid w:val="0080188F"/>
    <w:rsid w:val="00801921"/>
    <w:rsid w:val="00801944"/>
    <w:rsid w:val="00801A01"/>
    <w:rsid w:val="00801A2F"/>
    <w:rsid w:val="008020B3"/>
    <w:rsid w:val="00802481"/>
    <w:rsid w:val="008025C9"/>
    <w:rsid w:val="00802BFE"/>
    <w:rsid w:val="00802D9B"/>
    <w:rsid w:val="00802F23"/>
    <w:rsid w:val="00803150"/>
    <w:rsid w:val="00803194"/>
    <w:rsid w:val="008031FD"/>
    <w:rsid w:val="0080325B"/>
    <w:rsid w:val="008034B6"/>
    <w:rsid w:val="008035AE"/>
    <w:rsid w:val="00803655"/>
    <w:rsid w:val="00803879"/>
    <w:rsid w:val="00803921"/>
    <w:rsid w:val="00803AB5"/>
    <w:rsid w:val="00803D8A"/>
    <w:rsid w:val="00803F86"/>
    <w:rsid w:val="00804004"/>
    <w:rsid w:val="0080414D"/>
    <w:rsid w:val="00804227"/>
    <w:rsid w:val="0080424B"/>
    <w:rsid w:val="00804338"/>
    <w:rsid w:val="00804517"/>
    <w:rsid w:val="0080451A"/>
    <w:rsid w:val="008047E2"/>
    <w:rsid w:val="00804921"/>
    <w:rsid w:val="00804AA3"/>
    <w:rsid w:val="00804CE6"/>
    <w:rsid w:val="00804CEA"/>
    <w:rsid w:val="00804D71"/>
    <w:rsid w:val="00804D74"/>
    <w:rsid w:val="00804EDB"/>
    <w:rsid w:val="00804FD9"/>
    <w:rsid w:val="0080504C"/>
    <w:rsid w:val="00805147"/>
    <w:rsid w:val="008052BF"/>
    <w:rsid w:val="0080593E"/>
    <w:rsid w:val="00805D19"/>
    <w:rsid w:val="00805D35"/>
    <w:rsid w:val="00805F80"/>
    <w:rsid w:val="008064DC"/>
    <w:rsid w:val="0080654C"/>
    <w:rsid w:val="008065D8"/>
    <w:rsid w:val="00806A36"/>
    <w:rsid w:val="00806ABA"/>
    <w:rsid w:val="00806B09"/>
    <w:rsid w:val="008070DB"/>
    <w:rsid w:val="00807144"/>
    <w:rsid w:val="008072B2"/>
    <w:rsid w:val="0080782C"/>
    <w:rsid w:val="00807A69"/>
    <w:rsid w:val="00807CE6"/>
    <w:rsid w:val="00807E61"/>
    <w:rsid w:val="008101FE"/>
    <w:rsid w:val="008103ED"/>
    <w:rsid w:val="00810B1B"/>
    <w:rsid w:val="00810B65"/>
    <w:rsid w:val="00810CE5"/>
    <w:rsid w:val="00810D19"/>
    <w:rsid w:val="00810DFC"/>
    <w:rsid w:val="00810F52"/>
    <w:rsid w:val="00811001"/>
    <w:rsid w:val="00811109"/>
    <w:rsid w:val="008111EE"/>
    <w:rsid w:val="008112F4"/>
    <w:rsid w:val="00811378"/>
    <w:rsid w:val="008115B6"/>
    <w:rsid w:val="008116F5"/>
    <w:rsid w:val="00811943"/>
    <w:rsid w:val="00811A12"/>
    <w:rsid w:val="00811B62"/>
    <w:rsid w:val="00811CA8"/>
    <w:rsid w:val="00811E0C"/>
    <w:rsid w:val="00811FA3"/>
    <w:rsid w:val="00811FEB"/>
    <w:rsid w:val="008120AF"/>
    <w:rsid w:val="00812382"/>
    <w:rsid w:val="00812807"/>
    <w:rsid w:val="00812B7A"/>
    <w:rsid w:val="00812C66"/>
    <w:rsid w:val="00812D24"/>
    <w:rsid w:val="00812D8E"/>
    <w:rsid w:val="00812E5C"/>
    <w:rsid w:val="00812F5D"/>
    <w:rsid w:val="00812F6D"/>
    <w:rsid w:val="00812F82"/>
    <w:rsid w:val="008133DC"/>
    <w:rsid w:val="00813542"/>
    <w:rsid w:val="00813762"/>
    <w:rsid w:val="00813994"/>
    <w:rsid w:val="00813AF2"/>
    <w:rsid w:val="00813CAA"/>
    <w:rsid w:val="00813DB0"/>
    <w:rsid w:val="00813E98"/>
    <w:rsid w:val="00813F9A"/>
    <w:rsid w:val="00813FD9"/>
    <w:rsid w:val="00814010"/>
    <w:rsid w:val="008140ED"/>
    <w:rsid w:val="00814291"/>
    <w:rsid w:val="0081447B"/>
    <w:rsid w:val="00814488"/>
    <w:rsid w:val="008144A4"/>
    <w:rsid w:val="00814739"/>
    <w:rsid w:val="00814802"/>
    <w:rsid w:val="00814814"/>
    <w:rsid w:val="008148BF"/>
    <w:rsid w:val="00814B48"/>
    <w:rsid w:val="00814BA1"/>
    <w:rsid w:val="00814D5F"/>
    <w:rsid w:val="00814DBC"/>
    <w:rsid w:val="00815097"/>
    <w:rsid w:val="008151D6"/>
    <w:rsid w:val="00815545"/>
    <w:rsid w:val="0081555C"/>
    <w:rsid w:val="00815679"/>
    <w:rsid w:val="008156F7"/>
    <w:rsid w:val="008158EA"/>
    <w:rsid w:val="00815912"/>
    <w:rsid w:val="0081597F"/>
    <w:rsid w:val="00815AC4"/>
    <w:rsid w:val="00815C05"/>
    <w:rsid w:val="00815C81"/>
    <w:rsid w:val="00816337"/>
    <w:rsid w:val="008163E7"/>
    <w:rsid w:val="00816474"/>
    <w:rsid w:val="00816558"/>
    <w:rsid w:val="008167F3"/>
    <w:rsid w:val="00816A16"/>
    <w:rsid w:val="00816BD8"/>
    <w:rsid w:val="00816C4B"/>
    <w:rsid w:val="00816D3F"/>
    <w:rsid w:val="00816D96"/>
    <w:rsid w:val="00816F3E"/>
    <w:rsid w:val="00816F74"/>
    <w:rsid w:val="00816FC1"/>
    <w:rsid w:val="00817121"/>
    <w:rsid w:val="00817243"/>
    <w:rsid w:val="00817476"/>
    <w:rsid w:val="008175F6"/>
    <w:rsid w:val="0081765F"/>
    <w:rsid w:val="00817954"/>
    <w:rsid w:val="00817D0C"/>
    <w:rsid w:val="00817E40"/>
    <w:rsid w:val="00817EB4"/>
    <w:rsid w:val="00817F82"/>
    <w:rsid w:val="0082003E"/>
    <w:rsid w:val="008202DB"/>
    <w:rsid w:val="0082033E"/>
    <w:rsid w:val="008204B9"/>
    <w:rsid w:val="008204BD"/>
    <w:rsid w:val="00820775"/>
    <w:rsid w:val="008207EA"/>
    <w:rsid w:val="00820870"/>
    <w:rsid w:val="008208B4"/>
    <w:rsid w:val="00820961"/>
    <w:rsid w:val="00820988"/>
    <w:rsid w:val="00820A6C"/>
    <w:rsid w:val="00820A80"/>
    <w:rsid w:val="00820BF3"/>
    <w:rsid w:val="00820C34"/>
    <w:rsid w:val="00820C98"/>
    <w:rsid w:val="00820EE3"/>
    <w:rsid w:val="00820F1F"/>
    <w:rsid w:val="008212FA"/>
    <w:rsid w:val="0082145B"/>
    <w:rsid w:val="00821862"/>
    <w:rsid w:val="00821866"/>
    <w:rsid w:val="00821941"/>
    <w:rsid w:val="00821A4E"/>
    <w:rsid w:val="00821A7F"/>
    <w:rsid w:val="00821AB9"/>
    <w:rsid w:val="00821C51"/>
    <w:rsid w:val="00821CF0"/>
    <w:rsid w:val="00821FDA"/>
    <w:rsid w:val="008221D8"/>
    <w:rsid w:val="008221D9"/>
    <w:rsid w:val="00822385"/>
    <w:rsid w:val="008223D4"/>
    <w:rsid w:val="0082242F"/>
    <w:rsid w:val="00822613"/>
    <w:rsid w:val="00822735"/>
    <w:rsid w:val="00822A17"/>
    <w:rsid w:val="00822A42"/>
    <w:rsid w:val="00822B2C"/>
    <w:rsid w:val="00822C8D"/>
    <w:rsid w:val="00822D7F"/>
    <w:rsid w:val="00822DA4"/>
    <w:rsid w:val="00822E28"/>
    <w:rsid w:val="00822E2E"/>
    <w:rsid w:val="00822F8F"/>
    <w:rsid w:val="008230F0"/>
    <w:rsid w:val="008237D1"/>
    <w:rsid w:val="00823951"/>
    <w:rsid w:val="00823B1D"/>
    <w:rsid w:val="00823CEA"/>
    <w:rsid w:val="00823D0F"/>
    <w:rsid w:val="00823D71"/>
    <w:rsid w:val="00824050"/>
    <w:rsid w:val="008242BF"/>
    <w:rsid w:val="00824309"/>
    <w:rsid w:val="0082435F"/>
    <w:rsid w:val="0082440C"/>
    <w:rsid w:val="008246B2"/>
    <w:rsid w:val="0082473C"/>
    <w:rsid w:val="008248A7"/>
    <w:rsid w:val="00824A46"/>
    <w:rsid w:val="00824AAE"/>
    <w:rsid w:val="00824DF7"/>
    <w:rsid w:val="00824F11"/>
    <w:rsid w:val="00825415"/>
    <w:rsid w:val="00825472"/>
    <w:rsid w:val="00825593"/>
    <w:rsid w:val="0082579A"/>
    <w:rsid w:val="008258A8"/>
    <w:rsid w:val="00825B0B"/>
    <w:rsid w:val="00825B6E"/>
    <w:rsid w:val="00826050"/>
    <w:rsid w:val="008260D6"/>
    <w:rsid w:val="00826294"/>
    <w:rsid w:val="008262BF"/>
    <w:rsid w:val="0082646F"/>
    <w:rsid w:val="00826642"/>
    <w:rsid w:val="00826A08"/>
    <w:rsid w:val="00826A17"/>
    <w:rsid w:val="00826D7F"/>
    <w:rsid w:val="00826DA1"/>
    <w:rsid w:val="00826FAC"/>
    <w:rsid w:val="00826FD9"/>
    <w:rsid w:val="00827005"/>
    <w:rsid w:val="0082703E"/>
    <w:rsid w:val="008270D9"/>
    <w:rsid w:val="00827156"/>
    <w:rsid w:val="008275F3"/>
    <w:rsid w:val="0082763F"/>
    <w:rsid w:val="0082772D"/>
    <w:rsid w:val="00827A07"/>
    <w:rsid w:val="00827D6C"/>
    <w:rsid w:val="00827D7D"/>
    <w:rsid w:val="00827E13"/>
    <w:rsid w:val="00830302"/>
    <w:rsid w:val="0083030D"/>
    <w:rsid w:val="0083057E"/>
    <w:rsid w:val="0083094F"/>
    <w:rsid w:val="00830B03"/>
    <w:rsid w:val="00830BA8"/>
    <w:rsid w:val="00830BEF"/>
    <w:rsid w:val="00830C52"/>
    <w:rsid w:val="00830D4C"/>
    <w:rsid w:val="00830DE0"/>
    <w:rsid w:val="00830E87"/>
    <w:rsid w:val="008310F9"/>
    <w:rsid w:val="008311B8"/>
    <w:rsid w:val="0083126F"/>
    <w:rsid w:val="0083149B"/>
    <w:rsid w:val="0083162C"/>
    <w:rsid w:val="008316BF"/>
    <w:rsid w:val="008316D1"/>
    <w:rsid w:val="00831906"/>
    <w:rsid w:val="00831E5F"/>
    <w:rsid w:val="00832027"/>
    <w:rsid w:val="00832378"/>
    <w:rsid w:val="008325B4"/>
    <w:rsid w:val="00832738"/>
    <w:rsid w:val="008328F7"/>
    <w:rsid w:val="00832BE1"/>
    <w:rsid w:val="00833091"/>
    <w:rsid w:val="0083319E"/>
    <w:rsid w:val="008331DE"/>
    <w:rsid w:val="008331E6"/>
    <w:rsid w:val="008333B2"/>
    <w:rsid w:val="00833437"/>
    <w:rsid w:val="00833559"/>
    <w:rsid w:val="00833B1F"/>
    <w:rsid w:val="00833B77"/>
    <w:rsid w:val="00833BD7"/>
    <w:rsid w:val="00833C67"/>
    <w:rsid w:val="00833CB0"/>
    <w:rsid w:val="00833CEF"/>
    <w:rsid w:val="0083400E"/>
    <w:rsid w:val="00834243"/>
    <w:rsid w:val="008342E6"/>
    <w:rsid w:val="008346B7"/>
    <w:rsid w:val="008348B4"/>
    <w:rsid w:val="00834ABB"/>
    <w:rsid w:val="00834BDA"/>
    <w:rsid w:val="00834C7F"/>
    <w:rsid w:val="00834C8A"/>
    <w:rsid w:val="00834D2D"/>
    <w:rsid w:val="00834D2E"/>
    <w:rsid w:val="00834D64"/>
    <w:rsid w:val="00834E05"/>
    <w:rsid w:val="00834F9C"/>
    <w:rsid w:val="008351F4"/>
    <w:rsid w:val="00835293"/>
    <w:rsid w:val="0083533D"/>
    <w:rsid w:val="00835508"/>
    <w:rsid w:val="00835540"/>
    <w:rsid w:val="00835855"/>
    <w:rsid w:val="0083596C"/>
    <w:rsid w:val="00835A20"/>
    <w:rsid w:val="00835E4E"/>
    <w:rsid w:val="0083608A"/>
    <w:rsid w:val="00836111"/>
    <w:rsid w:val="00836140"/>
    <w:rsid w:val="008361F3"/>
    <w:rsid w:val="008362A3"/>
    <w:rsid w:val="008362BB"/>
    <w:rsid w:val="00836659"/>
    <w:rsid w:val="008368DA"/>
    <w:rsid w:val="00836B60"/>
    <w:rsid w:val="00836C23"/>
    <w:rsid w:val="00836D19"/>
    <w:rsid w:val="00836F77"/>
    <w:rsid w:val="0083734C"/>
    <w:rsid w:val="00837407"/>
    <w:rsid w:val="0083747D"/>
    <w:rsid w:val="008374C4"/>
    <w:rsid w:val="008374F4"/>
    <w:rsid w:val="008375C6"/>
    <w:rsid w:val="008376D5"/>
    <w:rsid w:val="008377D4"/>
    <w:rsid w:val="00837819"/>
    <w:rsid w:val="00837A0C"/>
    <w:rsid w:val="00837B4C"/>
    <w:rsid w:val="00837B66"/>
    <w:rsid w:val="00837B6B"/>
    <w:rsid w:val="00837BBC"/>
    <w:rsid w:val="00840350"/>
    <w:rsid w:val="008403D6"/>
    <w:rsid w:val="008404E8"/>
    <w:rsid w:val="00840759"/>
    <w:rsid w:val="0084091C"/>
    <w:rsid w:val="00840D83"/>
    <w:rsid w:val="00840EBB"/>
    <w:rsid w:val="00840F0A"/>
    <w:rsid w:val="0084117D"/>
    <w:rsid w:val="0084138F"/>
    <w:rsid w:val="008414F0"/>
    <w:rsid w:val="0084157F"/>
    <w:rsid w:val="00841609"/>
    <w:rsid w:val="00841777"/>
    <w:rsid w:val="00841949"/>
    <w:rsid w:val="00841A08"/>
    <w:rsid w:val="00841C66"/>
    <w:rsid w:val="00841E58"/>
    <w:rsid w:val="008420B3"/>
    <w:rsid w:val="008421F0"/>
    <w:rsid w:val="0084221B"/>
    <w:rsid w:val="00842279"/>
    <w:rsid w:val="0084270F"/>
    <w:rsid w:val="00842859"/>
    <w:rsid w:val="008428A0"/>
    <w:rsid w:val="00842A9D"/>
    <w:rsid w:val="00842B71"/>
    <w:rsid w:val="00843342"/>
    <w:rsid w:val="00843461"/>
    <w:rsid w:val="0084349A"/>
    <w:rsid w:val="008435D4"/>
    <w:rsid w:val="008436CD"/>
    <w:rsid w:val="0084371B"/>
    <w:rsid w:val="008439CC"/>
    <w:rsid w:val="00843A20"/>
    <w:rsid w:val="00843A77"/>
    <w:rsid w:val="00843C79"/>
    <w:rsid w:val="00843CAB"/>
    <w:rsid w:val="00843F85"/>
    <w:rsid w:val="00844070"/>
    <w:rsid w:val="008441B9"/>
    <w:rsid w:val="00844266"/>
    <w:rsid w:val="00844275"/>
    <w:rsid w:val="008443BD"/>
    <w:rsid w:val="00844539"/>
    <w:rsid w:val="008445AF"/>
    <w:rsid w:val="008446DD"/>
    <w:rsid w:val="00844C9A"/>
    <w:rsid w:val="0084504F"/>
    <w:rsid w:val="0084519E"/>
    <w:rsid w:val="00845227"/>
    <w:rsid w:val="008454C5"/>
    <w:rsid w:val="00845831"/>
    <w:rsid w:val="00845988"/>
    <w:rsid w:val="0084599D"/>
    <w:rsid w:val="00845A13"/>
    <w:rsid w:val="00845A65"/>
    <w:rsid w:val="00845DD3"/>
    <w:rsid w:val="00845E0A"/>
    <w:rsid w:val="00845F87"/>
    <w:rsid w:val="008462FF"/>
    <w:rsid w:val="008463E1"/>
    <w:rsid w:val="0084662D"/>
    <w:rsid w:val="008467E2"/>
    <w:rsid w:val="0084692F"/>
    <w:rsid w:val="00846B4A"/>
    <w:rsid w:val="00847133"/>
    <w:rsid w:val="0084733D"/>
    <w:rsid w:val="0084741F"/>
    <w:rsid w:val="008474DF"/>
    <w:rsid w:val="00847682"/>
    <w:rsid w:val="00847834"/>
    <w:rsid w:val="008478DC"/>
    <w:rsid w:val="00847996"/>
    <w:rsid w:val="00847BBB"/>
    <w:rsid w:val="00847DFD"/>
    <w:rsid w:val="00850027"/>
    <w:rsid w:val="008500BE"/>
    <w:rsid w:val="008502FE"/>
    <w:rsid w:val="0085033D"/>
    <w:rsid w:val="00850571"/>
    <w:rsid w:val="00850978"/>
    <w:rsid w:val="00850BA5"/>
    <w:rsid w:val="00850FB4"/>
    <w:rsid w:val="0085105A"/>
    <w:rsid w:val="00851164"/>
    <w:rsid w:val="008511BE"/>
    <w:rsid w:val="0085146C"/>
    <w:rsid w:val="008514F9"/>
    <w:rsid w:val="008515EC"/>
    <w:rsid w:val="0085182D"/>
    <w:rsid w:val="0085186F"/>
    <w:rsid w:val="00851B23"/>
    <w:rsid w:val="00851C90"/>
    <w:rsid w:val="00851CF0"/>
    <w:rsid w:val="00851DA1"/>
    <w:rsid w:val="00851E74"/>
    <w:rsid w:val="00851FFA"/>
    <w:rsid w:val="0085207E"/>
    <w:rsid w:val="00852182"/>
    <w:rsid w:val="00852400"/>
    <w:rsid w:val="0085241C"/>
    <w:rsid w:val="0085259C"/>
    <w:rsid w:val="008527C6"/>
    <w:rsid w:val="0085294B"/>
    <w:rsid w:val="00852AB8"/>
    <w:rsid w:val="00852D5B"/>
    <w:rsid w:val="00852DA5"/>
    <w:rsid w:val="00852E38"/>
    <w:rsid w:val="0085312F"/>
    <w:rsid w:val="0085342B"/>
    <w:rsid w:val="008534D5"/>
    <w:rsid w:val="00853668"/>
    <w:rsid w:val="0085366A"/>
    <w:rsid w:val="00853731"/>
    <w:rsid w:val="00853768"/>
    <w:rsid w:val="00853833"/>
    <w:rsid w:val="00853ADB"/>
    <w:rsid w:val="00853C2A"/>
    <w:rsid w:val="00853E6B"/>
    <w:rsid w:val="00853E90"/>
    <w:rsid w:val="00854095"/>
    <w:rsid w:val="00854127"/>
    <w:rsid w:val="00854406"/>
    <w:rsid w:val="00854801"/>
    <w:rsid w:val="008548AA"/>
    <w:rsid w:val="00854916"/>
    <w:rsid w:val="00854C19"/>
    <w:rsid w:val="00854C4D"/>
    <w:rsid w:val="00854D0D"/>
    <w:rsid w:val="00854E24"/>
    <w:rsid w:val="00854F4D"/>
    <w:rsid w:val="00855035"/>
    <w:rsid w:val="0085520C"/>
    <w:rsid w:val="008553B6"/>
    <w:rsid w:val="00855559"/>
    <w:rsid w:val="0085560C"/>
    <w:rsid w:val="008558FF"/>
    <w:rsid w:val="00855947"/>
    <w:rsid w:val="008559B4"/>
    <w:rsid w:val="00855CAC"/>
    <w:rsid w:val="00855CF3"/>
    <w:rsid w:val="00856030"/>
    <w:rsid w:val="008562AE"/>
    <w:rsid w:val="00856431"/>
    <w:rsid w:val="008564F6"/>
    <w:rsid w:val="008565FB"/>
    <w:rsid w:val="00856612"/>
    <w:rsid w:val="008566FC"/>
    <w:rsid w:val="0085679C"/>
    <w:rsid w:val="00856934"/>
    <w:rsid w:val="00856A6E"/>
    <w:rsid w:val="00856AA5"/>
    <w:rsid w:val="00856AF5"/>
    <w:rsid w:val="00856C6B"/>
    <w:rsid w:val="00856F1A"/>
    <w:rsid w:val="008571B6"/>
    <w:rsid w:val="008571C0"/>
    <w:rsid w:val="008574B9"/>
    <w:rsid w:val="008575DB"/>
    <w:rsid w:val="0085763B"/>
    <w:rsid w:val="008576F0"/>
    <w:rsid w:val="00857710"/>
    <w:rsid w:val="00857969"/>
    <w:rsid w:val="00857AE8"/>
    <w:rsid w:val="00857CAF"/>
    <w:rsid w:val="00857CD4"/>
    <w:rsid w:val="00857D77"/>
    <w:rsid w:val="008600BE"/>
    <w:rsid w:val="0086016C"/>
    <w:rsid w:val="00860248"/>
    <w:rsid w:val="00860352"/>
    <w:rsid w:val="00860490"/>
    <w:rsid w:val="00860912"/>
    <w:rsid w:val="008609E0"/>
    <w:rsid w:val="00860F00"/>
    <w:rsid w:val="00860FE2"/>
    <w:rsid w:val="00861084"/>
    <w:rsid w:val="00861383"/>
    <w:rsid w:val="00861A33"/>
    <w:rsid w:val="00861A39"/>
    <w:rsid w:val="00861D29"/>
    <w:rsid w:val="00861E4C"/>
    <w:rsid w:val="00861F1D"/>
    <w:rsid w:val="008624FD"/>
    <w:rsid w:val="00862668"/>
    <w:rsid w:val="008626B3"/>
    <w:rsid w:val="0086270C"/>
    <w:rsid w:val="00862719"/>
    <w:rsid w:val="00862961"/>
    <w:rsid w:val="008629EE"/>
    <w:rsid w:val="00862A60"/>
    <w:rsid w:val="00862BAB"/>
    <w:rsid w:val="00862BAC"/>
    <w:rsid w:val="00862CF2"/>
    <w:rsid w:val="00862EA9"/>
    <w:rsid w:val="00862ED3"/>
    <w:rsid w:val="00862FED"/>
    <w:rsid w:val="008634F2"/>
    <w:rsid w:val="008636D6"/>
    <w:rsid w:val="00863A7D"/>
    <w:rsid w:val="00863C7D"/>
    <w:rsid w:val="00863CB5"/>
    <w:rsid w:val="00863F6D"/>
    <w:rsid w:val="00864191"/>
    <w:rsid w:val="008641D7"/>
    <w:rsid w:val="008641F8"/>
    <w:rsid w:val="00864295"/>
    <w:rsid w:val="008644A9"/>
    <w:rsid w:val="008645FE"/>
    <w:rsid w:val="00864770"/>
    <w:rsid w:val="008647C9"/>
    <w:rsid w:val="0086485F"/>
    <w:rsid w:val="008649B0"/>
    <w:rsid w:val="00864C67"/>
    <w:rsid w:val="00865510"/>
    <w:rsid w:val="0086585A"/>
    <w:rsid w:val="008658F0"/>
    <w:rsid w:val="008658F8"/>
    <w:rsid w:val="0086593A"/>
    <w:rsid w:val="00865AC3"/>
    <w:rsid w:val="00865B06"/>
    <w:rsid w:val="0086606F"/>
    <w:rsid w:val="008662B7"/>
    <w:rsid w:val="00866345"/>
    <w:rsid w:val="008664C1"/>
    <w:rsid w:val="008664FF"/>
    <w:rsid w:val="008666B4"/>
    <w:rsid w:val="008668FD"/>
    <w:rsid w:val="0086699C"/>
    <w:rsid w:val="00866A08"/>
    <w:rsid w:val="00866AE1"/>
    <w:rsid w:val="00866B2A"/>
    <w:rsid w:val="00866C16"/>
    <w:rsid w:val="00866CB8"/>
    <w:rsid w:val="00866D70"/>
    <w:rsid w:val="00866E25"/>
    <w:rsid w:val="00866FF3"/>
    <w:rsid w:val="008670C2"/>
    <w:rsid w:val="008670D2"/>
    <w:rsid w:val="00867116"/>
    <w:rsid w:val="00867149"/>
    <w:rsid w:val="0086773F"/>
    <w:rsid w:val="008677A7"/>
    <w:rsid w:val="008677C5"/>
    <w:rsid w:val="00867D47"/>
    <w:rsid w:val="00867E34"/>
    <w:rsid w:val="00867EDF"/>
    <w:rsid w:val="00867EFA"/>
    <w:rsid w:val="0087000F"/>
    <w:rsid w:val="00870055"/>
    <w:rsid w:val="00870B38"/>
    <w:rsid w:val="00870B97"/>
    <w:rsid w:val="00870E2D"/>
    <w:rsid w:val="008712A6"/>
    <w:rsid w:val="008713A7"/>
    <w:rsid w:val="008713F9"/>
    <w:rsid w:val="008714BD"/>
    <w:rsid w:val="0087161D"/>
    <w:rsid w:val="0087176A"/>
    <w:rsid w:val="00871ACE"/>
    <w:rsid w:val="00871F7D"/>
    <w:rsid w:val="00872085"/>
    <w:rsid w:val="00872181"/>
    <w:rsid w:val="0087219B"/>
    <w:rsid w:val="00872378"/>
    <w:rsid w:val="00872417"/>
    <w:rsid w:val="008728B0"/>
    <w:rsid w:val="008729B9"/>
    <w:rsid w:val="00872B03"/>
    <w:rsid w:val="00872BD5"/>
    <w:rsid w:val="00872C12"/>
    <w:rsid w:val="00872D35"/>
    <w:rsid w:val="00872DCE"/>
    <w:rsid w:val="00872E04"/>
    <w:rsid w:val="00872E13"/>
    <w:rsid w:val="00872E86"/>
    <w:rsid w:val="00872E99"/>
    <w:rsid w:val="00873124"/>
    <w:rsid w:val="00873363"/>
    <w:rsid w:val="0087390D"/>
    <w:rsid w:val="00873936"/>
    <w:rsid w:val="00873A8C"/>
    <w:rsid w:val="00873CB4"/>
    <w:rsid w:val="00873DB6"/>
    <w:rsid w:val="00873DC9"/>
    <w:rsid w:val="00873E39"/>
    <w:rsid w:val="00873F2E"/>
    <w:rsid w:val="00873FFA"/>
    <w:rsid w:val="008743A7"/>
    <w:rsid w:val="008744B6"/>
    <w:rsid w:val="008744E2"/>
    <w:rsid w:val="008746DD"/>
    <w:rsid w:val="008746EA"/>
    <w:rsid w:val="00874744"/>
    <w:rsid w:val="00874921"/>
    <w:rsid w:val="00874BC4"/>
    <w:rsid w:val="00874C07"/>
    <w:rsid w:val="00874CDF"/>
    <w:rsid w:val="00874D36"/>
    <w:rsid w:val="00874E77"/>
    <w:rsid w:val="00874FCC"/>
    <w:rsid w:val="0087522E"/>
    <w:rsid w:val="00875309"/>
    <w:rsid w:val="008753C4"/>
    <w:rsid w:val="008753EC"/>
    <w:rsid w:val="00875440"/>
    <w:rsid w:val="00875636"/>
    <w:rsid w:val="008756C8"/>
    <w:rsid w:val="00875C09"/>
    <w:rsid w:val="00875C26"/>
    <w:rsid w:val="00875CFC"/>
    <w:rsid w:val="00875F51"/>
    <w:rsid w:val="0087608B"/>
    <w:rsid w:val="00876245"/>
    <w:rsid w:val="00876496"/>
    <w:rsid w:val="00876535"/>
    <w:rsid w:val="008765B3"/>
    <w:rsid w:val="008765F5"/>
    <w:rsid w:val="00876731"/>
    <w:rsid w:val="00876759"/>
    <w:rsid w:val="008767AF"/>
    <w:rsid w:val="00876984"/>
    <w:rsid w:val="008769B3"/>
    <w:rsid w:val="008769ED"/>
    <w:rsid w:val="00876FC8"/>
    <w:rsid w:val="008771A3"/>
    <w:rsid w:val="00877423"/>
    <w:rsid w:val="00877491"/>
    <w:rsid w:val="008774C6"/>
    <w:rsid w:val="008774EF"/>
    <w:rsid w:val="0087771A"/>
    <w:rsid w:val="008779A3"/>
    <w:rsid w:val="00877B4A"/>
    <w:rsid w:val="00877B60"/>
    <w:rsid w:val="00877BB7"/>
    <w:rsid w:val="00877E3C"/>
    <w:rsid w:val="00877F95"/>
    <w:rsid w:val="00877FEB"/>
    <w:rsid w:val="00880044"/>
    <w:rsid w:val="0088021E"/>
    <w:rsid w:val="0088042D"/>
    <w:rsid w:val="00880476"/>
    <w:rsid w:val="008805CB"/>
    <w:rsid w:val="00880600"/>
    <w:rsid w:val="00880747"/>
    <w:rsid w:val="00880987"/>
    <w:rsid w:val="00880BD7"/>
    <w:rsid w:val="00880D3C"/>
    <w:rsid w:val="00880D74"/>
    <w:rsid w:val="00880DBD"/>
    <w:rsid w:val="00880E36"/>
    <w:rsid w:val="00880E70"/>
    <w:rsid w:val="00880F0D"/>
    <w:rsid w:val="00881051"/>
    <w:rsid w:val="008810B1"/>
    <w:rsid w:val="00881363"/>
    <w:rsid w:val="0088188E"/>
    <w:rsid w:val="00881D27"/>
    <w:rsid w:val="00881FFE"/>
    <w:rsid w:val="00882000"/>
    <w:rsid w:val="008820D3"/>
    <w:rsid w:val="00882101"/>
    <w:rsid w:val="00882148"/>
    <w:rsid w:val="00882325"/>
    <w:rsid w:val="00882654"/>
    <w:rsid w:val="0088286B"/>
    <w:rsid w:val="00882C27"/>
    <w:rsid w:val="00882CC4"/>
    <w:rsid w:val="00882E1F"/>
    <w:rsid w:val="00882FB2"/>
    <w:rsid w:val="00882FD3"/>
    <w:rsid w:val="00882FDD"/>
    <w:rsid w:val="008832B1"/>
    <w:rsid w:val="0088354A"/>
    <w:rsid w:val="008835FF"/>
    <w:rsid w:val="00883635"/>
    <w:rsid w:val="008836FC"/>
    <w:rsid w:val="00883896"/>
    <w:rsid w:val="00883B34"/>
    <w:rsid w:val="00883CD2"/>
    <w:rsid w:val="00883D25"/>
    <w:rsid w:val="00883D6F"/>
    <w:rsid w:val="0088424A"/>
    <w:rsid w:val="0088426A"/>
    <w:rsid w:val="008843F0"/>
    <w:rsid w:val="008844AC"/>
    <w:rsid w:val="008844DC"/>
    <w:rsid w:val="00884505"/>
    <w:rsid w:val="00884691"/>
    <w:rsid w:val="00884817"/>
    <w:rsid w:val="00884880"/>
    <w:rsid w:val="00884903"/>
    <w:rsid w:val="00884A4D"/>
    <w:rsid w:val="00884A6C"/>
    <w:rsid w:val="00884F2C"/>
    <w:rsid w:val="00885142"/>
    <w:rsid w:val="008851A0"/>
    <w:rsid w:val="0088523F"/>
    <w:rsid w:val="00885458"/>
    <w:rsid w:val="008854C3"/>
    <w:rsid w:val="008855C4"/>
    <w:rsid w:val="008855E8"/>
    <w:rsid w:val="00885606"/>
    <w:rsid w:val="00885635"/>
    <w:rsid w:val="00885732"/>
    <w:rsid w:val="00885743"/>
    <w:rsid w:val="0088576B"/>
    <w:rsid w:val="008857FB"/>
    <w:rsid w:val="00885822"/>
    <w:rsid w:val="008858D9"/>
    <w:rsid w:val="008859DA"/>
    <w:rsid w:val="00885A86"/>
    <w:rsid w:val="00885C09"/>
    <w:rsid w:val="00885C8D"/>
    <w:rsid w:val="00885DE5"/>
    <w:rsid w:val="00886035"/>
    <w:rsid w:val="0088665A"/>
    <w:rsid w:val="0088674F"/>
    <w:rsid w:val="00887128"/>
    <w:rsid w:val="0088716D"/>
    <w:rsid w:val="008872BC"/>
    <w:rsid w:val="008872F5"/>
    <w:rsid w:val="00887516"/>
    <w:rsid w:val="00887645"/>
    <w:rsid w:val="008877AF"/>
    <w:rsid w:val="0088784A"/>
    <w:rsid w:val="00887926"/>
    <w:rsid w:val="00887B37"/>
    <w:rsid w:val="00887C5A"/>
    <w:rsid w:val="00887DF1"/>
    <w:rsid w:val="00887DF6"/>
    <w:rsid w:val="00887F6B"/>
    <w:rsid w:val="00890149"/>
    <w:rsid w:val="00890212"/>
    <w:rsid w:val="00890491"/>
    <w:rsid w:val="0089050B"/>
    <w:rsid w:val="008906A2"/>
    <w:rsid w:val="008907AB"/>
    <w:rsid w:val="00890B3F"/>
    <w:rsid w:val="00890B9C"/>
    <w:rsid w:val="00890C12"/>
    <w:rsid w:val="00890C53"/>
    <w:rsid w:val="00891188"/>
    <w:rsid w:val="0089123E"/>
    <w:rsid w:val="0089148A"/>
    <w:rsid w:val="0089150A"/>
    <w:rsid w:val="008915DD"/>
    <w:rsid w:val="0089181A"/>
    <w:rsid w:val="0089183D"/>
    <w:rsid w:val="00891DAA"/>
    <w:rsid w:val="00892059"/>
    <w:rsid w:val="008921FE"/>
    <w:rsid w:val="0089222B"/>
    <w:rsid w:val="008925A4"/>
    <w:rsid w:val="008925AF"/>
    <w:rsid w:val="0089270E"/>
    <w:rsid w:val="0089283F"/>
    <w:rsid w:val="00892968"/>
    <w:rsid w:val="00892B46"/>
    <w:rsid w:val="00892DA9"/>
    <w:rsid w:val="00892F55"/>
    <w:rsid w:val="00893170"/>
    <w:rsid w:val="008934D6"/>
    <w:rsid w:val="008934EC"/>
    <w:rsid w:val="0089350A"/>
    <w:rsid w:val="00893649"/>
    <w:rsid w:val="00893B3E"/>
    <w:rsid w:val="00893C35"/>
    <w:rsid w:val="00893D3A"/>
    <w:rsid w:val="00893D5C"/>
    <w:rsid w:val="00893DC3"/>
    <w:rsid w:val="00893E42"/>
    <w:rsid w:val="00893E96"/>
    <w:rsid w:val="00893EC5"/>
    <w:rsid w:val="00893EF9"/>
    <w:rsid w:val="00893F26"/>
    <w:rsid w:val="00893F68"/>
    <w:rsid w:val="00894138"/>
    <w:rsid w:val="00894216"/>
    <w:rsid w:val="008942A5"/>
    <w:rsid w:val="008942F6"/>
    <w:rsid w:val="00894407"/>
    <w:rsid w:val="0089458B"/>
    <w:rsid w:val="008947F8"/>
    <w:rsid w:val="00894813"/>
    <w:rsid w:val="00894992"/>
    <w:rsid w:val="0089499A"/>
    <w:rsid w:val="00894AEC"/>
    <w:rsid w:val="00894CC9"/>
    <w:rsid w:val="00894CE9"/>
    <w:rsid w:val="00894D4B"/>
    <w:rsid w:val="00894E43"/>
    <w:rsid w:val="00894E6E"/>
    <w:rsid w:val="008951E8"/>
    <w:rsid w:val="0089537B"/>
    <w:rsid w:val="008954A0"/>
    <w:rsid w:val="008959D3"/>
    <w:rsid w:val="00895BFC"/>
    <w:rsid w:val="00895D6C"/>
    <w:rsid w:val="00896344"/>
    <w:rsid w:val="008965E0"/>
    <w:rsid w:val="0089665F"/>
    <w:rsid w:val="00896800"/>
    <w:rsid w:val="0089680C"/>
    <w:rsid w:val="00896928"/>
    <w:rsid w:val="00896AC6"/>
    <w:rsid w:val="00896B80"/>
    <w:rsid w:val="00896CC2"/>
    <w:rsid w:val="00896D2D"/>
    <w:rsid w:val="00897023"/>
    <w:rsid w:val="00897038"/>
    <w:rsid w:val="0089719A"/>
    <w:rsid w:val="008974C9"/>
    <w:rsid w:val="008974EA"/>
    <w:rsid w:val="00897698"/>
    <w:rsid w:val="0089795C"/>
    <w:rsid w:val="00897984"/>
    <w:rsid w:val="00897B18"/>
    <w:rsid w:val="00897F46"/>
    <w:rsid w:val="008A040F"/>
    <w:rsid w:val="008A046C"/>
    <w:rsid w:val="008A06B1"/>
    <w:rsid w:val="008A095D"/>
    <w:rsid w:val="008A0C19"/>
    <w:rsid w:val="008A0D1C"/>
    <w:rsid w:val="008A0FDA"/>
    <w:rsid w:val="008A1049"/>
    <w:rsid w:val="008A15F5"/>
    <w:rsid w:val="008A1F14"/>
    <w:rsid w:val="008A20E5"/>
    <w:rsid w:val="008A22C1"/>
    <w:rsid w:val="008A2333"/>
    <w:rsid w:val="008A23FA"/>
    <w:rsid w:val="008A2456"/>
    <w:rsid w:val="008A25FE"/>
    <w:rsid w:val="008A2A60"/>
    <w:rsid w:val="008A2EC2"/>
    <w:rsid w:val="008A3127"/>
    <w:rsid w:val="008A351A"/>
    <w:rsid w:val="008A36B6"/>
    <w:rsid w:val="008A3B0A"/>
    <w:rsid w:val="008A3B9B"/>
    <w:rsid w:val="008A3BAD"/>
    <w:rsid w:val="008A3E00"/>
    <w:rsid w:val="008A3F69"/>
    <w:rsid w:val="008A4395"/>
    <w:rsid w:val="008A49F2"/>
    <w:rsid w:val="008A4A7F"/>
    <w:rsid w:val="008A4BCF"/>
    <w:rsid w:val="008A5465"/>
    <w:rsid w:val="008A553B"/>
    <w:rsid w:val="008A5663"/>
    <w:rsid w:val="008A581D"/>
    <w:rsid w:val="008A589F"/>
    <w:rsid w:val="008A596B"/>
    <w:rsid w:val="008A5997"/>
    <w:rsid w:val="008A5BD6"/>
    <w:rsid w:val="008A5C6D"/>
    <w:rsid w:val="008A5CB9"/>
    <w:rsid w:val="008A6192"/>
    <w:rsid w:val="008A61FB"/>
    <w:rsid w:val="008A6219"/>
    <w:rsid w:val="008A6516"/>
    <w:rsid w:val="008A6684"/>
    <w:rsid w:val="008A66AE"/>
    <w:rsid w:val="008A67C0"/>
    <w:rsid w:val="008A67E4"/>
    <w:rsid w:val="008A6B10"/>
    <w:rsid w:val="008A6B83"/>
    <w:rsid w:val="008A6D28"/>
    <w:rsid w:val="008A6F33"/>
    <w:rsid w:val="008A6FC8"/>
    <w:rsid w:val="008A71A9"/>
    <w:rsid w:val="008A7281"/>
    <w:rsid w:val="008A72B1"/>
    <w:rsid w:val="008A73EE"/>
    <w:rsid w:val="008A73F7"/>
    <w:rsid w:val="008A75F5"/>
    <w:rsid w:val="008A76CC"/>
    <w:rsid w:val="008A787B"/>
    <w:rsid w:val="008A7BA4"/>
    <w:rsid w:val="008A7BF2"/>
    <w:rsid w:val="008A7DDC"/>
    <w:rsid w:val="008A7E52"/>
    <w:rsid w:val="008A7F9B"/>
    <w:rsid w:val="008B01B9"/>
    <w:rsid w:val="008B01D4"/>
    <w:rsid w:val="008B02EA"/>
    <w:rsid w:val="008B05AA"/>
    <w:rsid w:val="008B0661"/>
    <w:rsid w:val="008B06EB"/>
    <w:rsid w:val="008B074B"/>
    <w:rsid w:val="008B07BB"/>
    <w:rsid w:val="008B0840"/>
    <w:rsid w:val="008B08A6"/>
    <w:rsid w:val="008B0A6E"/>
    <w:rsid w:val="008B0B41"/>
    <w:rsid w:val="008B0BE1"/>
    <w:rsid w:val="008B0E01"/>
    <w:rsid w:val="008B0F7A"/>
    <w:rsid w:val="008B0F8A"/>
    <w:rsid w:val="008B10C8"/>
    <w:rsid w:val="008B11C7"/>
    <w:rsid w:val="008B11D7"/>
    <w:rsid w:val="008B11DC"/>
    <w:rsid w:val="008B130F"/>
    <w:rsid w:val="008B13F0"/>
    <w:rsid w:val="008B1493"/>
    <w:rsid w:val="008B164E"/>
    <w:rsid w:val="008B173A"/>
    <w:rsid w:val="008B185F"/>
    <w:rsid w:val="008B1A0B"/>
    <w:rsid w:val="008B1A76"/>
    <w:rsid w:val="008B1CDB"/>
    <w:rsid w:val="008B1DCA"/>
    <w:rsid w:val="008B1E06"/>
    <w:rsid w:val="008B1EB4"/>
    <w:rsid w:val="008B1F6A"/>
    <w:rsid w:val="008B2256"/>
    <w:rsid w:val="008B230A"/>
    <w:rsid w:val="008B23E1"/>
    <w:rsid w:val="008B2406"/>
    <w:rsid w:val="008B242F"/>
    <w:rsid w:val="008B2483"/>
    <w:rsid w:val="008B24A5"/>
    <w:rsid w:val="008B253D"/>
    <w:rsid w:val="008B2BD0"/>
    <w:rsid w:val="008B2DF6"/>
    <w:rsid w:val="008B2F5C"/>
    <w:rsid w:val="008B3189"/>
    <w:rsid w:val="008B318B"/>
    <w:rsid w:val="008B32B0"/>
    <w:rsid w:val="008B34A9"/>
    <w:rsid w:val="008B3754"/>
    <w:rsid w:val="008B37A2"/>
    <w:rsid w:val="008B3907"/>
    <w:rsid w:val="008B3995"/>
    <w:rsid w:val="008B3A26"/>
    <w:rsid w:val="008B3AC3"/>
    <w:rsid w:val="008B3B63"/>
    <w:rsid w:val="008B3CB9"/>
    <w:rsid w:val="008B3D25"/>
    <w:rsid w:val="008B3D2A"/>
    <w:rsid w:val="008B3F52"/>
    <w:rsid w:val="008B44A0"/>
    <w:rsid w:val="008B44D1"/>
    <w:rsid w:val="008B44E8"/>
    <w:rsid w:val="008B4649"/>
    <w:rsid w:val="008B470A"/>
    <w:rsid w:val="008B47B1"/>
    <w:rsid w:val="008B47B8"/>
    <w:rsid w:val="008B489D"/>
    <w:rsid w:val="008B490A"/>
    <w:rsid w:val="008B4A2B"/>
    <w:rsid w:val="008B4AC7"/>
    <w:rsid w:val="008B4D1E"/>
    <w:rsid w:val="008B4E85"/>
    <w:rsid w:val="008B4F13"/>
    <w:rsid w:val="008B513B"/>
    <w:rsid w:val="008B578F"/>
    <w:rsid w:val="008B5993"/>
    <w:rsid w:val="008B5B52"/>
    <w:rsid w:val="008B5CDB"/>
    <w:rsid w:val="008B5EBA"/>
    <w:rsid w:val="008B5F41"/>
    <w:rsid w:val="008B6255"/>
    <w:rsid w:val="008B6451"/>
    <w:rsid w:val="008B64AE"/>
    <w:rsid w:val="008B6B36"/>
    <w:rsid w:val="008B6BA9"/>
    <w:rsid w:val="008B6CF3"/>
    <w:rsid w:val="008B6D40"/>
    <w:rsid w:val="008B6D8F"/>
    <w:rsid w:val="008B6DB4"/>
    <w:rsid w:val="008B725D"/>
    <w:rsid w:val="008B730B"/>
    <w:rsid w:val="008B7378"/>
    <w:rsid w:val="008B7390"/>
    <w:rsid w:val="008B7743"/>
    <w:rsid w:val="008B7850"/>
    <w:rsid w:val="008B7A00"/>
    <w:rsid w:val="008B7ADC"/>
    <w:rsid w:val="008B7C06"/>
    <w:rsid w:val="008B7C4D"/>
    <w:rsid w:val="008B7C58"/>
    <w:rsid w:val="008B7EA2"/>
    <w:rsid w:val="008BF789"/>
    <w:rsid w:val="008C00B5"/>
    <w:rsid w:val="008C026D"/>
    <w:rsid w:val="008C034B"/>
    <w:rsid w:val="008C07FF"/>
    <w:rsid w:val="008C08C8"/>
    <w:rsid w:val="008C0BE5"/>
    <w:rsid w:val="008C0CE4"/>
    <w:rsid w:val="008C0DB0"/>
    <w:rsid w:val="008C0DD2"/>
    <w:rsid w:val="008C0FFF"/>
    <w:rsid w:val="008C1311"/>
    <w:rsid w:val="008C1430"/>
    <w:rsid w:val="008C1621"/>
    <w:rsid w:val="008C16D0"/>
    <w:rsid w:val="008C1A42"/>
    <w:rsid w:val="008C1C4C"/>
    <w:rsid w:val="008C1F44"/>
    <w:rsid w:val="008C214D"/>
    <w:rsid w:val="008C22CC"/>
    <w:rsid w:val="008C24B4"/>
    <w:rsid w:val="008C25E4"/>
    <w:rsid w:val="008C2795"/>
    <w:rsid w:val="008C2858"/>
    <w:rsid w:val="008C2A3D"/>
    <w:rsid w:val="008C2B2F"/>
    <w:rsid w:val="008C2D80"/>
    <w:rsid w:val="008C2F3C"/>
    <w:rsid w:val="008C2F94"/>
    <w:rsid w:val="008C3362"/>
    <w:rsid w:val="008C3387"/>
    <w:rsid w:val="008C3391"/>
    <w:rsid w:val="008C3419"/>
    <w:rsid w:val="008C3527"/>
    <w:rsid w:val="008C356F"/>
    <w:rsid w:val="008C37F6"/>
    <w:rsid w:val="008C3906"/>
    <w:rsid w:val="008C397D"/>
    <w:rsid w:val="008C3A87"/>
    <w:rsid w:val="008C3D20"/>
    <w:rsid w:val="008C3E00"/>
    <w:rsid w:val="008C3EFE"/>
    <w:rsid w:val="008C3F30"/>
    <w:rsid w:val="008C4017"/>
    <w:rsid w:val="008C408A"/>
    <w:rsid w:val="008C4113"/>
    <w:rsid w:val="008C4276"/>
    <w:rsid w:val="008C42F0"/>
    <w:rsid w:val="008C44D9"/>
    <w:rsid w:val="008C455D"/>
    <w:rsid w:val="008C4622"/>
    <w:rsid w:val="008C48B5"/>
    <w:rsid w:val="008C491F"/>
    <w:rsid w:val="008C492D"/>
    <w:rsid w:val="008C49D1"/>
    <w:rsid w:val="008C4A2F"/>
    <w:rsid w:val="008C4A33"/>
    <w:rsid w:val="008C4CEA"/>
    <w:rsid w:val="008C4D6D"/>
    <w:rsid w:val="008C4DA9"/>
    <w:rsid w:val="008C537D"/>
    <w:rsid w:val="008C54B6"/>
    <w:rsid w:val="008C5675"/>
    <w:rsid w:val="008C574E"/>
    <w:rsid w:val="008C57DB"/>
    <w:rsid w:val="008C5A43"/>
    <w:rsid w:val="008C5AA5"/>
    <w:rsid w:val="008C5BD7"/>
    <w:rsid w:val="008C5C84"/>
    <w:rsid w:val="008C5C87"/>
    <w:rsid w:val="008C6259"/>
    <w:rsid w:val="008C627A"/>
    <w:rsid w:val="008C646E"/>
    <w:rsid w:val="008C648C"/>
    <w:rsid w:val="008C6892"/>
    <w:rsid w:val="008C6ADE"/>
    <w:rsid w:val="008C6C6E"/>
    <w:rsid w:val="008C6E44"/>
    <w:rsid w:val="008C7226"/>
    <w:rsid w:val="008C7333"/>
    <w:rsid w:val="008C7367"/>
    <w:rsid w:val="008C742A"/>
    <w:rsid w:val="008C749B"/>
    <w:rsid w:val="008C790C"/>
    <w:rsid w:val="008C7DBB"/>
    <w:rsid w:val="008C7F71"/>
    <w:rsid w:val="008C7FA1"/>
    <w:rsid w:val="008C7FDB"/>
    <w:rsid w:val="008D0277"/>
    <w:rsid w:val="008D02E0"/>
    <w:rsid w:val="008D035C"/>
    <w:rsid w:val="008D0493"/>
    <w:rsid w:val="008D059F"/>
    <w:rsid w:val="008D0663"/>
    <w:rsid w:val="008D07E0"/>
    <w:rsid w:val="008D07EA"/>
    <w:rsid w:val="008D091C"/>
    <w:rsid w:val="008D0921"/>
    <w:rsid w:val="008D0AA6"/>
    <w:rsid w:val="008D0B12"/>
    <w:rsid w:val="008D0B76"/>
    <w:rsid w:val="008D0CA1"/>
    <w:rsid w:val="008D122F"/>
    <w:rsid w:val="008D1236"/>
    <w:rsid w:val="008D14CF"/>
    <w:rsid w:val="008D166D"/>
    <w:rsid w:val="008D16D1"/>
    <w:rsid w:val="008D1753"/>
    <w:rsid w:val="008D1792"/>
    <w:rsid w:val="008D1C73"/>
    <w:rsid w:val="008D1E1A"/>
    <w:rsid w:val="008D23FF"/>
    <w:rsid w:val="008D2497"/>
    <w:rsid w:val="008D25A0"/>
    <w:rsid w:val="008D2723"/>
    <w:rsid w:val="008D289A"/>
    <w:rsid w:val="008D28EA"/>
    <w:rsid w:val="008D2BA6"/>
    <w:rsid w:val="008D2E05"/>
    <w:rsid w:val="008D2EF7"/>
    <w:rsid w:val="008D32B1"/>
    <w:rsid w:val="008D32B3"/>
    <w:rsid w:val="008D32E8"/>
    <w:rsid w:val="008D339F"/>
    <w:rsid w:val="008D3872"/>
    <w:rsid w:val="008D39BE"/>
    <w:rsid w:val="008D3B09"/>
    <w:rsid w:val="008D3BCE"/>
    <w:rsid w:val="008D3D93"/>
    <w:rsid w:val="008D3F26"/>
    <w:rsid w:val="008D41D2"/>
    <w:rsid w:val="008D4239"/>
    <w:rsid w:val="008D43BE"/>
    <w:rsid w:val="008D43FF"/>
    <w:rsid w:val="008D45BA"/>
    <w:rsid w:val="008D46C1"/>
    <w:rsid w:val="008D47CE"/>
    <w:rsid w:val="008D4A56"/>
    <w:rsid w:val="008D4A6C"/>
    <w:rsid w:val="008D4A7D"/>
    <w:rsid w:val="008D4E3A"/>
    <w:rsid w:val="008D4F60"/>
    <w:rsid w:val="008D5236"/>
    <w:rsid w:val="008D5400"/>
    <w:rsid w:val="008D5638"/>
    <w:rsid w:val="008D56D3"/>
    <w:rsid w:val="008D59F9"/>
    <w:rsid w:val="008D5A64"/>
    <w:rsid w:val="008D5ABC"/>
    <w:rsid w:val="008D651C"/>
    <w:rsid w:val="008D6A8A"/>
    <w:rsid w:val="008D6BD7"/>
    <w:rsid w:val="008D6CCA"/>
    <w:rsid w:val="008D6CE5"/>
    <w:rsid w:val="008D7026"/>
    <w:rsid w:val="008D70DC"/>
    <w:rsid w:val="008D7379"/>
    <w:rsid w:val="008D792C"/>
    <w:rsid w:val="008D7AF6"/>
    <w:rsid w:val="008D7B45"/>
    <w:rsid w:val="008D7BD5"/>
    <w:rsid w:val="008D7CB8"/>
    <w:rsid w:val="008E0065"/>
    <w:rsid w:val="008E041F"/>
    <w:rsid w:val="008E05C1"/>
    <w:rsid w:val="008E0624"/>
    <w:rsid w:val="008E0644"/>
    <w:rsid w:val="008E08E8"/>
    <w:rsid w:val="008E0A4B"/>
    <w:rsid w:val="008E0F78"/>
    <w:rsid w:val="008E0FDE"/>
    <w:rsid w:val="008E104B"/>
    <w:rsid w:val="008E1188"/>
    <w:rsid w:val="008E12BD"/>
    <w:rsid w:val="008E153E"/>
    <w:rsid w:val="008E16E0"/>
    <w:rsid w:val="008E16FD"/>
    <w:rsid w:val="008E1816"/>
    <w:rsid w:val="008E1A1B"/>
    <w:rsid w:val="008E1AEE"/>
    <w:rsid w:val="008E1B6C"/>
    <w:rsid w:val="008E1C2E"/>
    <w:rsid w:val="008E1FBA"/>
    <w:rsid w:val="008E201B"/>
    <w:rsid w:val="008E20AC"/>
    <w:rsid w:val="008E20C1"/>
    <w:rsid w:val="008E21B6"/>
    <w:rsid w:val="008E2248"/>
    <w:rsid w:val="008E2321"/>
    <w:rsid w:val="008E24D2"/>
    <w:rsid w:val="008E253E"/>
    <w:rsid w:val="008E2696"/>
    <w:rsid w:val="008E26EF"/>
    <w:rsid w:val="008E2B4D"/>
    <w:rsid w:val="008E2D85"/>
    <w:rsid w:val="008E2DC7"/>
    <w:rsid w:val="008E333B"/>
    <w:rsid w:val="008E33AB"/>
    <w:rsid w:val="008E35F7"/>
    <w:rsid w:val="008E3757"/>
    <w:rsid w:val="008E3854"/>
    <w:rsid w:val="008E3865"/>
    <w:rsid w:val="008E3879"/>
    <w:rsid w:val="008E3CFA"/>
    <w:rsid w:val="008E3E96"/>
    <w:rsid w:val="008E3EE7"/>
    <w:rsid w:val="008E3F8E"/>
    <w:rsid w:val="008E404D"/>
    <w:rsid w:val="008E40E6"/>
    <w:rsid w:val="008E41AA"/>
    <w:rsid w:val="008E42D1"/>
    <w:rsid w:val="008E456D"/>
    <w:rsid w:val="008E4ADC"/>
    <w:rsid w:val="008E4AEF"/>
    <w:rsid w:val="008E4B38"/>
    <w:rsid w:val="008E4C8D"/>
    <w:rsid w:val="008E4F77"/>
    <w:rsid w:val="008E5377"/>
    <w:rsid w:val="008E5556"/>
    <w:rsid w:val="008E57AB"/>
    <w:rsid w:val="008E5898"/>
    <w:rsid w:val="008E5959"/>
    <w:rsid w:val="008E59E8"/>
    <w:rsid w:val="008E5AC9"/>
    <w:rsid w:val="008E5D14"/>
    <w:rsid w:val="008E5E07"/>
    <w:rsid w:val="008E5F42"/>
    <w:rsid w:val="008E601C"/>
    <w:rsid w:val="008E60D1"/>
    <w:rsid w:val="008E6292"/>
    <w:rsid w:val="008E66B5"/>
    <w:rsid w:val="008E6C63"/>
    <w:rsid w:val="008E6CA9"/>
    <w:rsid w:val="008E6FE0"/>
    <w:rsid w:val="008E7082"/>
    <w:rsid w:val="008E7097"/>
    <w:rsid w:val="008E71A5"/>
    <w:rsid w:val="008E71D4"/>
    <w:rsid w:val="008E7308"/>
    <w:rsid w:val="008E7366"/>
    <w:rsid w:val="008E74E2"/>
    <w:rsid w:val="008E781E"/>
    <w:rsid w:val="008E78C0"/>
    <w:rsid w:val="008E79E8"/>
    <w:rsid w:val="008E79F9"/>
    <w:rsid w:val="008E7A5D"/>
    <w:rsid w:val="008E7EB5"/>
    <w:rsid w:val="008E7F5A"/>
    <w:rsid w:val="008F0055"/>
    <w:rsid w:val="008F005D"/>
    <w:rsid w:val="008F032C"/>
    <w:rsid w:val="008F0370"/>
    <w:rsid w:val="008F03AC"/>
    <w:rsid w:val="008F073F"/>
    <w:rsid w:val="008F08B2"/>
    <w:rsid w:val="008F0A24"/>
    <w:rsid w:val="008F0AD2"/>
    <w:rsid w:val="008F0DDE"/>
    <w:rsid w:val="008F10A2"/>
    <w:rsid w:val="008F11A7"/>
    <w:rsid w:val="008F120C"/>
    <w:rsid w:val="008F124E"/>
    <w:rsid w:val="008F14F4"/>
    <w:rsid w:val="008F14FF"/>
    <w:rsid w:val="008F15FD"/>
    <w:rsid w:val="008F1618"/>
    <w:rsid w:val="008F169A"/>
    <w:rsid w:val="008F16AF"/>
    <w:rsid w:val="008F1933"/>
    <w:rsid w:val="008F1939"/>
    <w:rsid w:val="008F1B73"/>
    <w:rsid w:val="008F1BD4"/>
    <w:rsid w:val="008F1C84"/>
    <w:rsid w:val="008F1CC1"/>
    <w:rsid w:val="008F1D28"/>
    <w:rsid w:val="008F1F43"/>
    <w:rsid w:val="008F2067"/>
    <w:rsid w:val="008F208F"/>
    <w:rsid w:val="008F2232"/>
    <w:rsid w:val="008F238E"/>
    <w:rsid w:val="008F23CF"/>
    <w:rsid w:val="008F23EB"/>
    <w:rsid w:val="008F2436"/>
    <w:rsid w:val="008F2845"/>
    <w:rsid w:val="008F28D7"/>
    <w:rsid w:val="008F2A2E"/>
    <w:rsid w:val="008F2A3D"/>
    <w:rsid w:val="008F2C53"/>
    <w:rsid w:val="008F2D1B"/>
    <w:rsid w:val="008F2D59"/>
    <w:rsid w:val="008F2D81"/>
    <w:rsid w:val="008F2F0D"/>
    <w:rsid w:val="008F303C"/>
    <w:rsid w:val="008F30BC"/>
    <w:rsid w:val="008F351E"/>
    <w:rsid w:val="008F3587"/>
    <w:rsid w:val="008F35C8"/>
    <w:rsid w:val="008F3616"/>
    <w:rsid w:val="008F39E9"/>
    <w:rsid w:val="008F3A7C"/>
    <w:rsid w:val="008F3BB2"/>
    <w:rsid w:val="008F3CD3"/>
    <w:rsid w:val="008F3CD4"/>
    <w:rsid w:val="008F3DB3"/>
    <w:rsid w:val="008F3E79"/>
    <w:rsid w:val="008F3EA8"/>
    <w:rsid w:val="008F40E4"/>
    <w:rsid w:val="008F418C"/>
    <w:rsid w:val="008F42B3"/>
    <w:rsid w:val="008F4348"/>
    <w:rsid w:val="008F459F"/>
    <w:rsid w:val="008F4844"/>
    <w:rsid w:val="008F4925"/>
    <w:rsid w:val="008F49FC"/>
    <w:rsid w:val="008F4A83"/>
    <w:rsid w:val="008F51F3"/>
    <w:rsid w:val="008F52E8"/>
    <w:rsid w:val="008F5501"/>
    <w:rsid w:val="008F5513"/>
    <w:rsid w:val="008F562F"/>
    <w:rsid w:val="008F58D3"/>
    <w:rsid w:val="008F59C7"/>
    <w:rsid w:val="008F5A7F"/>
    <w:rsid w:val="008F5B33"/>
    <w:rsid w:val="008F5BA4"/>
    <w:rsid w:val="008F5BAC"/>
    <w:rsid w:val="008F5D73"/>
    <w:rsid w:val="008F5D7B"/>
    <w:rsid w:val="008F5E89"/>
    <w:rsid w:val="008F5EFC"/>
    <w:rsid w:val="008F5F7D"/>
    <w:rsid w:val="008F62EB"/>
    <w:rsid w:val="008F64DD"/>
    <w:rsid w:val="008F656D"/>
    <w:rsid w:val="008F66F1"/>
    <w:rsid w:val="008F68F0"/>
    <w:rsid w:val="008F695D"/>
    <w:rsid w:val="008F69C3"/>
    <w:rsid w:val="008F6AF9"/>
    <w:rsid w:val="008F6B3B"/>
    <w:rsid w:val="008F7009"/>
    <w:rsid w:val="008F746A"/>
    <w:rsid w:val="008F754E"/>
    <w:rsid w:val="008F77CA"/>
    <w:rsid w:val="008F780E"/>
    <w:rsid w:val="008F79C2"/>
    <w:rsid w:val="008F7BD3"/>
    <w:rsid w:val="008F7C7E"/>
    <w:rsid w:val="008F7DE9"/>
    <w:rsid w:val="008F7F7F"/>
    <w:rsid w:val="008F7FC9"/>
    <w:rsid w:val="00900452"/>
    <w:rsid w:val="00900542"/>
    <w:rsid w:val="009007C6"/>
    <w:rsid w:val="00900988"/>
    <w:rsid w:val="00900ACC"/>
    <w:rsid w:val="00900AD2"/>
    <w:rsid w:val="00900B81"/>
    <w:rsid w:val="00900C44"/>
    <w:rsid w:val="00900EFA"/>
    <w:rsid w:val="00901111"/>
    <w:rsid w:val="009014F5"/>
    <w:rsid w:val="009015DD"/>
    <w:rsid w:val="009017B9"/>
    <w:rsid w:val="00901947"/>
    <w:rsid w:val="00901AD8"/>
    <w:rsid w:val="00901C52"/>
    <w:rsid w:val="00901D96"/>
    <w:rsid w:val="00901EB6"/>
    <w:rsid w:val="009021AD"/>
    <w:rsid w:val="009021DC"/>
    <w:rsid w:val="00902208"/>
    <w:rsid w:val="0090233F"/>
    <w:rsid w:val="0090249A"/>
    <w:rsid w:val="00902566"/>
    <w:rsid w:val="009025DE"/>
    <w:rsid w:val="00902734"/>
    <w:rsid w:val="009029BE"/>
    <w:rsid w:val="00902B08"/>
    <w:rsid w:val="00902E58"/>
    <w:rsid w:val="00902FA7"/>
    <w:rsid w:val="009031AC"/>
    <w:rsid w:val="0090340E"/>
    <w:rsid w:val="0090345A"/>
    <w:rsid w:val="009036DF"/>
    <w:rsid w:val="00903752"/>
    <w:rsid w:val="009037CC"/>
    <w:rsid w:val="009037E1"/>
    <w:rsid w:val="00903BCF"/>
    <w:rsid w:val="00903CDD"/>
    <w:rsid w:val="00903DC0"/>
    <w:rsid w:val="009043C2"/>
    <w:rsid w:val="0090452C"/>
    <w:rsid w:val="009045CA"/>
    <w:rsid w:val="00904690"/>
    <w:rsid w:val="009047B2"/>
    <w:rsid w:val="00904969"/>
    <w:rsid w:val="00904A2F"/>
    <w:rsid w:val="00904CB3"/>
    <w:rsid w:val="00904E33"/>
    <w:rsid w:val="00904EA9"/>
    <w:rsid w:val="0090522D"/>
    <w:rsid w:val="009052CD"/>
    <w:rsid w:val="009052F3"/>
    <w:rsid w:val="0090561E"/>
    <w:rsid w:val="0090562C"/>
    <w:rsid w:val="00905932"/>
    <w:rsid w:val="00905979"/>
    <w:rsid w:val="00905AA4"/>
    <w:rsid w:val="00905AD4"/>
    <w:rsid w:val="00905CC7"/>
    <w:rsid w:val="00905D12"/>
    <w:rsid w:val="00905EE6"/>
    <w:rsid w:val="00906003"/>
    <w:rsid w:val="0090603D"/>
    <w:rsid w:val="00906232"/>
    <w:rsid w:val="0090628D"/>
    <w:rsid w:val="009064D5"/>
    <w:rsid w:val="0090655B"/>
    <w:rsid w:val="00906709"/>
    <w:rsid w:val="009067F7"/>
    <w:rsid w:val="009069CC"/>
    <w:rsid w:val="00906A97"/>
    <w:rsid w:val="00906AE8"/>
    <w:rsid w:val="00906C27"/>
    <w:rsid w:val="00906DC1"/>
    <w:rsid w:val="00906E61"/>
    <w:rsid w:val="00907178"/>
    <w:rsid w:val="009071A8"/>
    <w:rsid w:val="00907415"/>
    <w:rsid w:val="009075B8"/>
    <w:rsid w:val="009075BF"/>
    <w:rsid w:val="009075CF"/>
    <w:rsid w:val="0090762C"/>
    <w:rsid w:val="00907839"/>
    <w:rsid w:val="0090785C"/>
    <w:rsid w:val="009078C8"/>
    <w:rsid w:val="00907A01"/>
    <w:rsid w:val="00907A1D"/>
    <w:rsid w:val="00907A68"/>
    <w:rsid w:val="00907AD1"/>
    <w:rsid w:val="00907B67"/>
    <w:rsid w:val="00907BE5"/>
    <w:rsid w:val="00907BEE"/>
    <w:rsid w:val="00907C2D"/>
    <w:rsid w:val="00907D42"/>
    <w:rsid w:val="00907DC3"/>
    <w:rsid w:val="00907EE4"/>
    <w:rsid w:val="00907F1E"/>
    <w:rsid w:val="00907F67"/>
    <w:rsid w:val="00910047"/>
    <w:rsid w:val="00910138"/>
    <w:rsid w:val="00910295"/>
    <w:rsid w:val="0091058E"/>
    <w:rsid w:val="009105F4"/>
    <w:rsid w:val="00910710"/>
    <w:rsid w:val="00910795"/>
    <w:rsid w:val="009108A4"/>
    <w:rsid w:val="00910BE5"/>
    <w:rsid w:val="00910C22"/>
    <w:rsid w:val="00910DFD"/>
    <w:rsid w:val="00910EBC"/>
    <w:rsid w:val="00911213"/>
    <w:rsid w:val="00911251"/>
    <w:rsid w:val="009112ED"/>
    <w:rsid w:val="00911A19"/>
    <w:rsid w:val="0091218B"/>
    <w:rsid w:val="00912349"/>
    <w:rsid w:val="009125B7"/>
    <w:rsid w:val="00912727"/>
    <w:rsid w:val="0091276A"/>
    <w:rsid w:val="00912815"/>
    <w:rsid w:val="0091288F"/>
    <w:rsid w:val="00912BF4"/>
    <w:rsid w:val="00912D83"/>
    <w:rsid w:val="00912F88"/>
    <w:rsid w:val="00912FDC"/>
    <w:rsid w:val="009130F6"/>
    <w:rsid w:val="009131A8"/>
    <w:rsid w:val="009132B6"/>
    <w:rsid w:val="009132E2"/>
    <w:rsid w:val="0091336E"/>
    <w:rsid w:val="00913548"/>
    <w:rsid w:val="00913772"/>
    <w:rsid w:val="00913918"/>
    <w:rsid w:val="00913C9D"/>
    <w:rsid w:val="00913CCC"/>
    <w:rsid w:val="00913E36"/>
    <w:rsid w:val="00913E4F"/>
    <w:rsid w:val="0091402F"/>
    <w:rsid w:val="0091407D"/>
    <w:rsid w:val="00914320"/>
    <w:rsid w:val="009143C8"/>
    <w:rsid w:val="009146B1"/>
    <w:rsid w:val="009147A7"/>
    <w:rsid w:val="009147BC"/>
    <w:rsid w:val="0091495C"/>
    <w:rsid w:val="00914A95"/>
    <w:rsid w:val="00914C5E"/>
    <w:rsid w:val="00914D1E"/>
    <w:rsid w:val="00914E3F"/>
    <w:rsid w:val="00915008"/>
    <w:rsid w:val="009152EF"/>
    <w:rsid w:val="00915413"/>
    <w:rsid w:val="0091541C"/>
    <w:rsid w:val="00915648"/>
    <w:rsid w:val="009156F7"/>
    <w:rsid w:val="009158D6"/>
    <w:rsid w:val="00915AAC"/>
    <w:rsid w:val="00915DFF"/>
    <w:rsid w:val="00916082"/>
    <w:rsid w:val="009161F1"/>
    <w:rsid w:val="009162C7"/>
    <w:rsid w:val="009163FF"/>
    <w:rsid w:val="00916519"/>
    <w:rsid w:val="0091667E"/>
    <w:rsid w:val="009169CA"/>
    <w:rsid w:val="00916B6E"/>
    <w:rsid w:val="00916B8F"/>
    <w:rsid w:val="00916C42"/>
    <w:rsid w:val="00916E10"/>
    <w:rsid w:val="00916F9E"/>
    <w:rsid w:val="00917159"/>
    <w:rsid w:val="009171B9"/>
    <w:rsid w:val="009172A7"/>
    <w:rsid w:val="009172BD"/>
    <w:rsid w:val="0091733D"/>
    <w:rsid w:val="00917364"/>
    <w:rsid w:val="0091754F"/>
    <w:rsid w:val="009175C3"/>
    <w:rsid w:val="0091773D"/>
    <w:rsid w:val="0091792B"/>
    <w:rsid w:val="00917A81"/>
    <w:rsid w:val="00917AD3"/>
    <w:rsid w:val="00917B91"/>
    <w:rsid w:val="00917E28"/>
    <w:rsid w:val="009200A7"/>
    <w:rsid w:val="0092047C"/>
    <w:rsid w:val="00920558"/>
    <w:rsid w:val="0092077E"/>
    <w:rsid w:val="0092089E"/>
    <w:rsid w:val="00920939"/>
    <w:rsid w:val="00920A15"/>
    <w:rsid w:val="00920C9C"/>
    <w:rsid w:val="00920D1A"/>
    <w:rsid w:val="0092104A"/>
    <w:rsid w:val="00921150"/>
    <w:rsid w:val="0092119F"/>
    <w:rsid w:val="009211FF"/>
    <w:rsid w:val="00921475"/>
    <w:rsid w:val="009214E7"/>
    <w:rsid w:val="0092158D"/>
    <w:rsid w:val="009215C6"/>
    <w:rsid w:val="00921830"/>
    <w:rsid w:val="009218D6"/>
    <w:rsid w:val="00921995"/>
    <w:rsid w:val="00921B92"/>
    <w:rsid w:val="00921CB9"/>
    <w:rsid w:val="00921D95"/>
    <w:rsid w:val="009220CB"/>
    <w:rsid w:val="0092225B"/>
    <w:rsid w:val="00922334"/>
    <w:rsid w:val="00922433"/>
    <w:rsid w:val="00922471"/>
    <w:rsid w:val="009224D3"/>
    <w:rsid w:val="00922535"/>
    <w:rsid w:val="009227C8"/>
    <w:rsid w:val="0092286A"/>
    <w:rsid w:val="00922B7F"/>
    <w:rsid w:val="00922C20"/>
    <w:rsid w:val="00922EBD"/>
    <w:rsid w:val="00922ECF"/>
    <w:rsid w:val="00923082"/>
    <w:rsid w:val="0092358A"/>
    <w:rsid w:val="009235AA"/>
    <w:rsid w:val="00923617"/>
    <w:rsid w:val="00923766"/>
    <w:rsid w:val="009238A7"/>
    <w:rsid w:val="00923F50"/>
    <w:rsid w:val="00924557"/>
    <w:rsid w:val="009247DD"/>
    <w:rsid w:val="00924C24"/>
    <w:rsid w:val="00924D0C"/>
    <w:rsid w:val="00924F4F"/>
    <w:rsid w:val="0092531D"/>
    <w:rsid w:val="00925367"/>
    <w:rsid w:val="0092546A"/>
    <w:rsid w:val="00925494"/>
    <w:rsid w:val="0092576F"/>
    <w:rsid w:val="00925AA5"/>
    <w:rsid w:val="00926380"/>
    <w:rsid w:val="009266E7"/>
    <w:rsid w:val="009266E9"/>
    <w:rsid w:val="00926976"/>
    <w:rsid w:val="00926C80"/>
    <w:rsid w:val="00926E2B"/>
    <w:rsid w:val="00926FC4"/>
    <w:rsid w:val="009272A7"/>
    <w:rsid w:val="0092744F"/>
    <w:rsid w:val="00927483"/>
    <w:rsid w:val="009274A6"/>
    <w:rsid w:val="009275F8"/>
    <w:rsid w:val="00927718"/>
    <w:rsid w:val="009277AE"/>
    <w:rsid w:val="00927A3E"/>
    <w:rsid w:val="00927C7D"/>
    <w:rsid w:val="00927D0D"/>
    <w:rsid w:val="00927D53"/>
    <w:rsid w:val="00927DA3"/>
    <w:rsid w:val="009301C8"/>
    <w:rsid w:val="0093025A"/>
    <w:rsid w:val="00930810"/>
    <w:rsid w:val="00930816"/>
    <w:rsid w:val="00930980"/>
    <w:rsid w:val="00930AFE"/>
    <w:rsid w:val="00930C2F"/>
    <w:rsid w:val="00930C76"/>
    <w:rsid w:val="00930F16"/>
    <w:rsid w:val="00931163"/>
    <w:rsid w:val="00931234"/>
    <w:rsid w:val="00931370"/>
    <w:rsid w:val="00931502"/>
    <w:rsid w:val="0093177E"/>
    <w:rsid w:val="009317E8"/>
    <w:rsid w:val="00931839"/>
    <w:rsid w:val="00931894"/>
    <w:rsid w:val="00931C99"/>
    <w:rsid w:val="00931DD7"/>
    <w:rsid w:val="00931E62"/>
    <w:rsid w:val="00931FD3"/>
    <w:rsid w:val="00932020"/>
    <w:rsid w:val="00932351"/>
    <w:rsid w:val="00932B1F"/>
    <w:rsid w:val="00932CC0"/>
    <w:rsid w:val="00932E7C"/>
    <w:rsid w:val="00932F15"/>
    <w:rsid w:val="00933137"/>
    <w:rsid w:val="0093315D"/>
    <w:rsid w:val="00933291"/>
    <w:rsid w:val="0093335E"/>
    <w:rsid w:val="00933497"/>
    <w:rsid w:val="009335E8"/>
    <w:rsid w:val="009335F8"/>
    <w:rsid w:val="009337D6"/>
    <w:rsid w:val="00933ABD"/>
    <w:rsid w:val="00933C65"/>
    <w:rsid w:val="00933D76"/>
    <w:rsid w:val="00934226"/>
    <w:rsid w:val="00934773"/>
    <w:rsid w:val="00934AE1"/>
    <w:rsid w:val="00934C6D"/>
    <w:rsid w:val="00934D2C"/>
    <w:rsid w:val="00935083"/>
    <w:rsid w:val="00935348"/>
    <w:rsid w:val="0093540D"/>
    <w:rsid w:val="0093548C"/>
    <w:rsid w:val="009354E5"/>
    <w:rsid w:val="0093559B"/>
    <w:rsid w:val="00935684"/>
    <w:rsid w:val="00935729"/>
    <w:rsid w:val="00935744"/>
    <w:rsid w:val="00935845"/>
    <w:rsid w:val="00935891"/>
    <w:rsid w:val="00935980"/>
    <w:rsid w:val="00935A6A"/>
    <w:rsid w:val="00935D27"/>
    <w:rsid w:val="00935E64"/>
    <w:rsid w:val="00935F89"/>
    <w:rsid w:val="009361FC"/>
    <w:rsid w:val="00936378"/>
    <w:rsid w:val="009363AB"/>
    <w:rsid w:val="00936427"/>
    <w:rsid w:val="0093645B"/>
    <w:rsid w:val="0093647E"/>
    <w:rsid w:val="00936522"/>
    <w:rsid w:val="009366CB"/>
    <w:rsid w:val="0093677B"/>
    <w:rsid w:val="009368B6"/>
    <w:rsid w:val="0093690D"/>
    <w:rsid w:val="00936A67"/>
    <w:rsid w:val="00936ADA"/>
    <w:rsid w:val="00936CCF"/>
    <w:rsid w:val="00936E8B"/>
    <w:rsid w:val="00937189"/>
    <w:rsid w:val="00937272"/>
    <w:rsid w:val="009372E7"/>
    <w:rsid w:val="009376B8"/>
    <w:rsid w:val="009377CA"/>
    <w:rsid w:val="00937B0E"/>
    <w:rsid w:val="00937C9F"/>
    <w:rsid w:val="00937CB8"/>
    <w:rsid w:val="00937DA1"/>
    <w:rsid w:val="00937E7D"/>
    <w:rsid w:val="00937FEF"/>
    <w:rsid w:val="0094019D"/>
    <w:rsid w:val="009402E2"/>
    <w:rsid w:val="009403FF"/>
    <w:rsid w:val="0094052C"/>
    <w:rsid w:val="00940643"/>
    <w:rsid w:val="009406FC"/>
    <w:rsid w:val="00940718"/>
    <w:rsid w:val="009407AB"/>
    <w:rsid w:val="009407F2"/>
    <w:rsid w:val="00940A78"/>
    <w:rsid w:val="00940C4D"/>
    <w:rsid w:val="00941020"/>
    <w:rsid w:val="00941217"/>
    <w:rsid w:val="00941253"/>
    <w:rsid w:val="00941257"/>
    <w:rsid w:val="009417C4"/>
    <w:rsid w:val="0094198C"/>
    <w:rsid w:val="009419AB"/>
    <w:rsid w:val="00941B28"/>
    <w:rsid w:val="00941B81"/>
    <w:rsid w:val="00941B97"/>
    <w:rsid w:val="00941C23"/>
    <w:rsid w:val="00941CC1"/>
    <w:rsid w:val="00941F3D"/>
    <w:rsid w:val="00941FBD"/>
    <w:rsid w:val="00942132"/>
    <w:rsid w:val="009422A8"/>
    <w:rsid w:val="00942326"/>
    <w:rsid w:val="009424AA"/>
    <w:rsid w:val="0094267B"/>
    <w:rsid w:val="009426D8"/>
    <w:rsid w:val="00942713"/>
    <w:rsid w:val="00942828"/>
    <w:rsid w:val="00942890"/>
    <w:rsid w:val="00942A04"/>
    <w:rsid w:val="00942C11"/>
    <w:rsid w:val="00942E4C"/>
    <w:rsid w:val="00942E5C"/>
    <w:rsid w:val="0094308D"/>
    <w:rsid w:val="009430DE"/>
    <w:rsid w:val="009433DA"/>
    <w:rsid w:val="00943515"/>
    <w:rsid w:val="0094351F"/>
    <w:rsid w:val="00943610"/>
    <w:rsid w:val="00943649"/>
    <w:rsid w:val="00943653"/>
    <w:rsid w:val="00943692"/>
    <w:rsid w:val="009438E1"/>
    <w:rsid w:val="00943990"/>
    <w:rsid w:val="009439D9"/>
    <w:rsid w:val="009439FD"/>
    <w:rsid w:val="00943AF8"/>
    <w:rsid w:val="00943FE5"/>
    <w:rsid w:val="00944329"/>
    <w:rsid w:val="009443F3"/>
    <w:rsid w:val="009443F9"/>
    <w:rsid w:val="00944528"/>
    <w:rsid w:val="00944536"/>
    <w:rsid w:val="009445C9"/>
    <w:rsid w:val="009446DF"/>
    <w:rsid w:val="009446F5"/>
    <w:rsid w:val="00944743"/>
    <w:rsid w:val="00944760"/>
    <w:rsid w:val="009448ED"/>
    <w:rsid w:val="00944B2A"/>
    <w:rsid w:val="00944E2E"/>
    <w:rsid w:val="00944F16"/>
    <w:rsid w:val="00944FE1"/>
    <w:rsid w:val="009451AD"/>
    <w:rsid w:val="009451B5"/>
    <w:rsid w:val="00945307"/>
    <w:rsid w:val="009453BE"/>
    <w:rsid w:val="0094548D"/>
    <w:rsid w:val="0094577A"/>
    <w:rsid w:val="009458C4"/>
    <w:rsid w:val="00945A48"/>
    <w:rsid w:val="00945AF2"/>
    <w:rsid w:val="00945B01"/>
    <w:rsid w:val="0094637F"/>
    <w:rsid w:val="009463E7"/>
    <w:rsid w:val="009466EF"/>
    <w:rsid w:val="009466F2"/>
    <w:rsid w:val="009466FC"/>
    <w:rsid w:val="00946838"/>
    <w:rsid w:val="00946A39"/>
    <w:rsid w:val="00946AA3"/>
    <w:rsid w:val="00946BE6"/>
    <w:rsid w:val="00946C8B"/>
    <w:rsid w:val="00946E5A"/>
    <w:rsid w:val="00947167"/>
    <w:rsid w:val="00947169"/>
    <w:rsid w:val="009472A2"/>
    <w:rsid w:val="009472F1"/>
    <w:rsid w:val="00947616"/>
    <w:rsid w:val="0094774B"/>
    <w:rsid w:val="00947778"/>
    <w:rsid w:val="00947A5C"/>
    <w:rsid w:val="00947B1A"/>
    <w:rsid w:val="009500F9"/>
    <w:rsid w:val="0095013A"/>
    <w:rsid w:val="00950213"/>
    <w:rsid w:val="009503E8"/>
    <w:rsid w:val="00950428"/>
    <w:rsid w:val="009504CC"/>
    <w:rsid w:val="00950616"/>
    <w:rsid w:val="0095067A"/>
    <w:rsid w:val="009506E1"/>
    <w:rsid w:val="00950819"/>
    <w:rsid w:val="0095085D"/>
    <w:rsid w:val="0095096F"/>
    <w:rsid w:val="009509CC"/>
    <w:rsid w:val="00950B5C"/>
    <w:rsid w:val="00950DCC"/>
    <w:rsid w:val="00950DDD"/>
    <w:rsid w:val="00950F87"/>
    <w:rsid w:val="00950FB1"/>
    <w:rsid w:val="009513BE"/>
    <w:rsid w:val="0095140E"/>
    <w:rsid w:val="009515F7"/>
    <w:rsid w:val="00951735"/>
    <w:rsid w:val="00951779"/>
    <w:rsid w:val="0095177A"/>
    <w:rsid w:val="00951BFC"/>
    <w:rsid w:val="00951C45"/>
    <w:rsid w:val="00952128"/>
    <w:rsid w:val="009527A1"/>
    <w:rsid w:val="00952968"/>
    <w:rsid w:val="00952CE0"/>
    <w:rsid w:val="00952CEA"/>
    <w:rsid w:val="00952EE5"/>
    <w:rsid w:val="00952F29"/>
    <w:rsid w:val="00953067"/>
    <w:rsid w:val="00953235"/>
    <w:rsid w:val="0095337E"/>
    <w:rsid w:val="009533C7"/>
    <w:rsid w:val="009537FA"/>
    <w:rsid w:val="00953969"/>
    <w:rsid w:val="00953AD1"/>
    <w:rsid w:val="00953AE8"/>
    <w:rsid w:val="00953B78"/>
    <w:rsid w:val="00953CDD"/>
    <w:rsid w:val="00953CE1"/>
    <w:rsid w:val="00953D79"/>
    <w:rsid w:val="00953DC8"/>
    <w:rsid w:val="00953ECB"/>
    <w:rsid w:val="00953F74"/>
    <w:rsid w:val="00954041"/>
    <w:rsid w:val="00954094"/>
    <w:rsid w:val="00954310"/>
    <w:rsid w:val="009543AA"/>
    <w:rsid w:val="009546AA"/>
    <w:rsid w:val="009547F8"/>
    <w:rsid w:val="00954857"/>
    <w:rsid w:val="009548B5"/>
    <w:rsid w:val="00954AF9"/>
    <w:rsid w:val="00954BDA"/>
    <w:rsid w:val="00954FA5"/>
    <w:rsid w:val="0095513F"/>
    <w:rsid w:val="009552B8"/>
    <w:rsid w:val="0095537C"/>
    <w:rsid w:val="009553C8"/>
    <w:rsid w:val="009553DD"/>
    <w:rsid w:val="009553E7"/>
    <w:rsid w:val="009554C0"/>
    <w:rsid w:val="009555E4"/>
    <w:rsid w:val="009555EB"/>
    <w:rsid w:val="00955651"/>
    <w:rsid w:val="009558F1"/>
    <w:rsid w:val="00955B73"/>
    <w:rsid w:val="00955CFA"/>
    <w:rsid w:val="00955DCF"/>
    <w:rsid w:val="00955E37"/>
    <w:rsid w:val="00955F31"/>
    <w:rsid w:val="00956156"/>
    <w:rsid w:val="009561C5"/>
    <w:rsid w:val="009561D5"/>
    <w:rsid w:val="009563C7"/>
    <w:rsid w:val="0095649E"/>
    <w:rsid w:val="00956657"/>
    <w:rsid w:val="0095669A"/>
    <w:rsid w:val="00956975"/>
    <w:rsid w:val="009569BD"/>
    <w:rsid w:val="009571EC"/>
    <w:rsid w:val="0095729E"/>
    <w:rsid w:val="009572D0"/>
    <w:rsid w:val="00957727"/>
    <w:rsid w:val="00957774"/>
    <w:rsid w:val="00957CB1"/>
    <w:rsid w:val="00957CF7"/>
    <w:rsid w:val="00957D62"/>
    <w:rsid w:val="00957D66"/>
    <w:rsid w:val="0096014B"/>
    <w:rsid w:val="00960191"/>
    <w:rsid w:val="009601AE"/>
    <w:rsid w:val="00960289"/>
    <w:rsid w:val="00960344"/>
    <w:rsid w:val="0096035F"/>
    <w:rsid w:val="0096052B"/>
    <w:rsid w:val="009605B3"/>
    <w:rsid w:val="00960603"/>
    <w:rsid w:val="009608FF"/>
    <w:rsid w:val="009609C5"/>
    <w:rsid w:val="00960E08"/>
    <w:rsid w:val="0096101F"/>
    <w:rsid w:val="0096139E"/>
    <w:rsid w:val="009614E0"/>
    <w:rsid w:val="009615BE"/>
    <w:rsid w:val="00961896"/>
    <w:rsid w:val="009619BD"/>
    <w:rsid w:val="00961AAF"/>
    <w:rsid w:val="00961C79"/>
    <w:rsid w:val="00961E9F"/>
    <w:rsid w:val="00961F16"/>
    <w:rsid w:val="009622FA"/>
    <w:rsid w:val="0096253E"/>
    <w:rsid w:val="009625B6"/>
    <w:rsid w:val="009625CC"/>
    <w:rsid w:val="0096279D"/>
    <w:rsid w:val="00962ACF"/>
    <w:rsid w:val="00962B31"/>
    <w:rsid w:val="00962BBD"/>
    <w:rsid w:val="00962BF0"/>
    <w:rsid w:val="00962D29"/>
    <w:rsid w:val="00962D45"/>
    <w:rsid w:val="009631F0"/>
    <w:rsid w:val="00963257"/>
    <w:rsid w:val="009632F7"/>
    <w:rsid w:val="009633BA"/>
    <w:rsid w:val="0096344B"/>
    <w:rsid w:val="0096354B"/>
    <w:rsid w:val="009636AA"/>
    <w:rsid w:val="009637AC"/>
    <w:rsid w:val="00963993"/>
    <w:rsid w:val="00963BB1"/>
    <w:rsid w:val="00963C34"/>
    <w:rsid w:val="00963C94"/>
    <w:rsid w:val="00963CD4"/>
    <w:rsid w:val="00963EA7"/>
    <w:rsid w:val="009641DE"/>
    <w:rsid w:val="00964335"/>
    <w:rsid w:val="00964379"/>
    <w:rsid w:val="009645E4"/>
    <w:rsid w:val="00964765"/>
    <w:rsid w:val="00964789"/>
    <w:rsid w:val="00964834"/>
    <w:rsid w:val="0096485A"/>
    <w:rsid w:val="00964A48"/>
    <w:rsid w:val="00964C0B"/>
    <w:rsid w:val="00964C14"/>
    <w:rsid w:val="00964CF3"/>
    <w:rsid w:val="00964EC3"/>
    <w:rsid w:val="00964F4B"/>
    <w:rsid w:val="009653D8"/>
    <w:rsid w:val="009653DF"/>
    <w:rsid w:val="0096549B"/>
    <w:rsid w:val="00965839"/>
    <w:rsid w:val="0096586E"/>
    <w:rsid w:val="00965A58"/>
    <w:rsid w:val="00965CD2"/>
    <w:rsid w:val="0096619D"/>
    <w:rsid w:val="0096625E"/>
    <w:rsid w:val="00966262"/>
    <w:rsid w:val="009665B3"/>
    <w:rsid w:val="009667AF"/>
    <w:rsid w:val="00966855"/>
    <w:rsid w:val="00966C4E"/>
    <w:rsid w:val="00966D97"/>
    <w:rsid w:val="009670E5"/>
    <w:rsid w:val="009672DA"/>
    <w:rsid w:val="009674AC"/>
    <w:rsid w:val="00967629"/>
    <w:rsid w:val="00967643"/>
    <w:rsid w:val="0096789A"/>
    <w:rsid w:val="00967955"/>
    <w:rsid w:val="00967BCE"/>
    <w:rsid w:val="00967E04"/>
    <w:rsid w:val="0097024F"/>
    <w:rsid w:val="00970310"/>
    <w:rsid w:val="0097047F"/>
    <w:rsid w:val="009704F5"/>
    <w:rsid w:val="0097054A"/>
    <w:rsid w:val="00970576"/>
    <w:rsid w:val="009708AC"/>
    <w:rsid w:val="00970934"/>
    <w:rsid w:val="00970BE3"/>
    <w:rsid w:val="00970CC6"/>
    <w:rsid w:val="00970DC9"/>
    <w:rsid w:val="00970EEB"/>
    <w:rsid w:val="00970F30"/>
    <w:rsid w:val="00970F52"/>
    <w:rsid w:val="00971083"/>
    <w:rsid w:val="009713A3"/>
    <w:rsid w:val="009713A5"/>
    <w:rsid w:val="00971615"/>
    <w:rsid w:val="0097177E"/>
    <w:rsid w:val="009717C8"/>
    <w:rsid w:val="0097185F"/>
    <w:rsid w:val="00971B3A"/>
    <w:rsid w:val="00971B9B"/>
    <w:rsid w:val="00971BD1"/>
    <w:rsid w:val="00971E2A"/>
    <w:rsid w:val="00972153"/>
    <w:rsid w:val="009721AC"/>
    <w:rsid w:val="00972271"/>
    <w:rsid w:val="0097252D"/>
    <w:rsid w:val="00972605"/>
    <w:rsid w:val="009728E5"/>
    <w:rsid w:val="009729D4"/>
    <w:rsid w:val="00972C87"/>
    <w:rsid w:val="00972D3C"/>
    <w:rsid w:val="00972EA5"/>
    <w:rsid w:val="00972EE5"/>
    <w:rsid w:val="009730BA"/>
    <w:rsid w:val="0097317C"/>
    <w:rsid w:val="0097323A"/>
    <w:rsid w:val="009732DA"/>
    <w:rsid w:val="00973735"/>
    <w:rsid w:val="00973740"/>
    <w:rsid w:val="0097378D"/>
    <w:rsid w:val="00973834"/>
    <w:rsid w:val="0097389C"/>
    <w:rsid w:val="009738B4"/>
    <w:rsid w:val="009739A7"/>
    <w:rsid w:val="00973B2C"/>
    <w:rsid w:val="00973F07"/>
    <w:rsid w:val="00973FDA"/>
    <w:rsid w:val="0097400C"/>
    <w:rsid w:val="009741A2"/>
    <w:rsid w:val="00974396"/>
    <w:rsid w:val="009744B3"/>
    <w:rsid w:val="009744B6"/>
    <w:rsid w:val="0097473A"/>
    <w:rsid w:val="009747FD"/>
    <w:rsid w:val="009749EA"/>
    <w:rsid w:val="00975381"/>
    <w:rsid w:val="0097564F"/>
    <w:rsid w:val="00975835"/>
    <w:rsid w:val="009758A1"/>
    <w:rsid w:val="00975A3F"/>
    <w:rsid w:val="00975C69"/>
    <w:rsid w:val="00975E94"/>
    <w:rsid w:val="009761B9"/>
    <w:rsid w:val="0097644A"/>
    <w:rsid w:val="00976670"/>
    <w:rsid w:val="00976C62"/>
    <w:rsid w:val="00976D18"/>
    <w:rsid w:val="00976DD5"/>
    <w:rsid w:val="00976F20"/>
    <w:rsid w:val="00976F56"/>
    <w:rsid w:val="00976F74"/>
    <w:rsid w:val="00977006"/>
    <w:rsid w:val="00977007"/>
    <w:rsid w:val="009770BC"/>
    <w:rsid w:val="0097714A"/>
    <w:rsid w:val="00977307"/>
    <w:rsid w:val="009773DA"/>
    <w:rsid w:val="00977474"/>
    <w:rsid w:val="00977A04"/>
    <w:rsid w:val="00977A94"/>
    <w:rsid w:val="00977ADD"/>
    <w:rsid w:val="00977D0F"/>
    <w:rsid w:val="00977E86"/>
    <w:rsid w:val="00977F6C"/>
    <w:rsid w:val="00980310"/>
    <w:rsid w:val="00980386"/>
    <w:rsid w:val="009803F5"/>
    <w:rsid w:val="00980508"/>
    <w:rsid w:val="00980560"/>
    <w:rsid w:val="00980759"/>
    <w:rsid w:val="009807EF"/>
    <w:rsid w:val="009808A6"/>
    <w:rsid w:val="00980B19"/>
    <w:rsid w:val="00980D3D"/>
    <w:rsid w:val="00980F03"/>
    <w:rsid w:val="0098114E"/>
    <w:rsid w:val="009812AA"/>
    <w:rsid w:val="009813E8"/>
    <w:rsid w:val="00981422"/>
    <w:rsid w:val="009817B0"/>
    <w:rsid w:val="00981953"/>
    <w:rsid w:val="00981AE1"/>
    <w:rsid w:val="00981AF9"/>
    <w:rsid w:val="00981BE1"/>
    <w:rsid w:val="00981C47"/>
    <w:rsid w:val="00981C96"/>
    <w:rsid w:val="00981F95"/>
    <w:rsid w:val="00981FEB"/>
    <w:rsid w:val="00981FF3"/>
    <w:rsid w:val="009821CE"/>
    <w:rsid w:val="0098222D"/>
    <w:rsid w:val="009822C7"/>
    <w:rsid w:val="00982897"/>
    <w:rsid w:val="0098298D"/>
    <w:rsid w:val="00982A12"/>
    <w:rsid w:val="00982A70"/>
    <w:rsid w:val="00982D9C"/>
    <w:rsid w:val="0098301E"/>
    <w:rsid w:val="00983051"/>
    <w:rsid w:val="00983480"/>
    <w:rsid w:val="0098353B"/>
    <w:rsid w:val="00983AA9"/>
    <w:rsid w:val="00983BAA"/>
    <w:rsid w:val="00983C6F"/>
    <w:rsid w:val="00983F15"/>
    <w:rsid w:val="00983F3B"/>
    <w:rsid w:val="00983FB7"/>
    <w:rsid w:val="00984072"/>
    <w:rsid w:val="009840AA"/>
    <w:rsid w:val="0098433C"/>
    <w:rsid w:val="00984380"/>
    <w:rsid w:val="0098440E"/>
    <w:rsid w:val="00984474"/>
    <w:rsid w:val="00984485"/>
    <w:rsid w:val="00984491"/>
    <w:rsid w:val="00984630"/>
    <w:rsid w:val="0098486D"/>
    <w:rsid w:val="009848A0"/>
    <w:rsid w:val="00984961"/>
    <w:rsid w:val="009849D2"/>
    <w:rsid w:val="00984A41"/>
    <w:rsid w:val="00984B28"/>
    <w:rsid w:val="00984C9F"/>
    <w:rsid w:val="00984F13"/>
    <w:rsid w:val="00984FDC"/>
    <w:rsid w:val="00985017"/>
    <w:rsid w:val="0098501F"/>
    <w:rsid w:val="00985549"/>
    <w:rsid w:val="0098563C"/>
    <w:rsid w:val="0098570B"/>
    <w:rsid w:val="00985834"/>
    <w:rsid w:val="0098583E"/>
    <w:rsid w:val="00985929"/>
    <w:rsid w:val="009859D5"/>
    <w:rsid w:val="00985C89"/>
    <w:rsid w:val="0098645D"/>
    <w:rsid w:val="00986843"/>
    <w:rsid w:val="00986B0B"/>
    <w:rsid w:val="00986C02"/>
    <w:rsid w:val="00986E65"/>
    <w:rsid w:val="00987024"/>
    <w:rsid w:val="00987030"/>
    <w:rsid w:val="0098703B"/>
    <w:rsid w:val="0098713E"/>
    <w:rsid w:val="00987495"/>
    <w:rsid w:val="00987496"/>
    <w:rsid w:val="0098757F"/>
    <w:rsid w:val="009875E3"/>
    <w:rsid w:val="009878F3"/>
    <w:rsid w:val="00987A9C"/>
    <w:rsid w:val="00987B8A"/>
    <w:rsid w:val="00987D75"/>
    <w:rsid w:val="00987F5C"/>
    <w:rsid w:val="00987F91"/>
    <w:rsid w:val="00987F98"/>
    <w:rsid w:val="00987FE9"/>
    <w:rsid w:val="009900F8"/>
    <w:rsid w:val="009903D9"/>
    <w:rsid w:val="00990575"/>
    <w:rsid w:val="009905AD"/>
    <w:rsid w:val="00990CC8"/>
    <w:rsid w:val="00990D87"/>
    <w:rsid w:val="00990E77"/>
    <w:rsid w:val="00990E88"/>
    <w:rsid w:val="00990EE0"/>
    <w:rsid w:val="00990F34"/>
    <w:rsid w:val="009911DF"/>
    <w:rsid w:val="009912BF"/>
    <w:rsid w:val="0099132D"/>
    <w:rsid w:val="00991579"/>
    <w:rsid w:val="0099159C"/>
    <w:rsid w:val="00991641"/>
    <w:rsid w:val="00991733"/>
    <w:rsid w:val="00991782"/>
    <w:rsid w:val="009917FB"/>
    <w:rsid w:val="009919A9"/>
    <w:rsid w:val="00991A0D"/>
    <w:rsid w:val="00991A4A"/>
    <w:rsid w:val="00991A75"/>
    <w:rsid w:val="00991B53"/>
    <w:rsid w:val="00991B5C"/>
    <w:rsid w:val="00991BB4"/>
    <w:rsid w:val="00991C5D"/>
    <w:rsid w:val="00991D6F"/>
    <w:rsid w:val="00991D8E"/>
    <w:rsid w:val="00991DFC"/>
    <w:rsid w:val="00992213"/>
    <w:rsid w:val="009922CC"/>
    <w:rsid w:val="0099236E"/>
    <w:rsid w:val="0099249A"/>
    <w:rsid w:val="00992A7F"/>
    <w:rsid w:val="00992BA2"/>
    <w:rsid w:val="00992C02"/>
    <w:rsid w:val="00992FB2"/>
    <w:rsid w:val="0099315E"/>
    <w:rsid w:val="009931C1"/>
    <w:rsid w:val="0099327D"/>
    <w:rsid w:val="00993456"/>
    <w:rsid w:val="009935DD"/>
    <w:rsid w:val="009936B1"/>
    <w:rsid w:val="009937A3"/>
    <w:rsid w:val="0099381B"/>
    <w:rsid w:val="009938AE"/>
    <w:rsid w:val="00993978"/>
    <w:rsid w:val="009939A3"/>
    <w:rsid w:val="009939AB"/>
    <w:rsid w:val="009939FB"/>
    <w:rsid w:val="00993A49"/>
    <w:rsid w:val="00993A4E"/>
    <w:rsid w:val="00993B9B"/>
    <w:rsid w:val="00993BC1"/>
    <w:rsid w:val="00993C0D"/>
    <w:rsid w:val="00993D2B"/>
    <w:rsid w:val="00993E43"/>
    <w:rsid w:val="009941D4"/>
    <w:rsid w:val="009942A9"/>
    <w:rsid w:val="0099434D"/>
    <w:rsid w:val="00994417"/>
    <w:rsid w:val="00994447"/>
    <w:rsid w:val="009947D3"/>
    <w:rsid w:val="0099485D"/>
    <w:rsid w:val="00994929"/>
    <w:rsid w:val="0099497A"/>
    <w:rsid w:val="00994D05"/>
    <w:rsid w:val="00994F9F"/>
    <w:rsid w:val="00994FC3"/>
    <w:rsid w:val="0099545E"/>
    <w:rsid w:val="0099548C"/>
    <w:rsid w:val="0099556E"/>
    <w:rsid w:val="0099556F"/>
    <w:rsid w:val="00995690"/>
    <w:rsid w:val="009956C4"/>
    <w:rsid w:val="0099588D"/>
    <w:rsid w:val="009958B1"/>
    <w:rsid w:val="0099593A"/>
    <w:rsid w:val="00995BBB"/>
    <w:rsid w:val="00995CC4"/>
    <w:rsid w:val="00995DBB"/>
    <w:rsid w:val="00995E1D"/>
    <w:rsid w:val="00995EBF"/>
    <w:rsid w:val="00995EE4"/>
    <w:rsid w:val="00995FE4"/>
    <w:rsid w:val="009960A1"/>
    <w:rsid w:val="009960D2"/>
    <w:rsid w:val="009961F4"/>
    <w:rsid w:val="00996488"/>
    <w:rsid w:val="0099667D"/>
    <w:rsid w:val="009967AB"/>
    <w:rsid w:val="00996927"/>
    <w:rsid w:val="0099692F"/>
    <w:rsid w:val="00996BCA"/>
    <w:rsid w:val="00996C80"/>
    <w:rsid w:val="00996D0F"/>
    <w:rsid w:val="00996ECC"/>
    <w:rsid w:val="00996F79"/>
    <w:rsid w:val="00997289"/>
    <w:rsid w:val="009972F2"/>
    <w:rsid w:val="0099767E"/>
    <w:rsid w:val="009976D4"/>
    <w:rsid w:val="00997AD7"/>
    <w:rsid w:val="00997DB0"/>
    <w:rsid w:val="00997DDB"/>
    <w:rsid w:val="00997FE9"/>
    <w:rsid w:val="009A013A"/>
    <w:rsid w:val="009A0148"/>
    <w:rsid w:val="009A01E7"/>
    <w:rsid w:val="009A081F"/>
    <w:rsid w:val="009A0A51"/>
    <w:rsid w:val="009A0B5E"/>
    <w:rsid w:val="009A0BF1"/>
    <w:rsid w:val="009A0C63"/>
    <w:rsid w:val="009A0CCD"/>
    <w:rsid w:val="009A0D0C"/>
    <w:rsid w:val="009A0F54"/>
    <w:rsid w:val="009A1051"/>
    <w:rsid w:val="009A10B5"/>
    <w:rsid w:val="009A129A"/>
    <w:rsid w:val="009A137F"/>
    <w:rsid w:val="009A13CA"/>
    <w:rsid w:val="009A1435"/>
    <w:rsid w:val="009A1448"/>
    <w:rsid w:val="009A15CA"/>
    <w:rsid w:val="009A163C"/>
    <w:rsid w:val="009A177B"/>
    <w:rsid w:val="009A1821"/>
    <w:rsid w:val="009A18BF"/>
    <w:rsid w:val="009A1919"/>
    <w:rsid w:val="009A1BB8"/>
    <w:rsid w:val="009A1DB7"/>
    <w:rsid w:val="009A1F38"/>
    <w:rsid w:val="009A1F55"/>
    <w:rsid w:val="009A1FEB"/>
    <w:rsid w:val="009A231B"/>
    <w:rsid w:val="009A252E"/>
    <w:rsid w:val="009A26C4"/>
    <w:rsid w:val="009A26D7"/>
    <w:rsid w:val="009A277C"/>
    <w:rsid w:val="009A2978"/>
    <w:rsid w:val="009A29FD"/>
    <w:rsid w:val="009A2F0B"/>
    <w:rsid w:val="009A2F43"/>
    <w:rsid w:val="009A3006"/>
    <w:rsid w:val="009A3205"/>
    <w:rsid w:val="009A32C1"/>
    <w:rsid w:val="009A3323"/>
    <w:rsid w:val="009A359C"/>
    <w:rsid w:val="009A3745"/>
    <w:rsid w:val="009A3B2A"/>
    <w:rsid w:val="009A3BE7"/>
    <w:rsid w:val="009A3BFD"/>
    <w:rsid w:val="009A3CB1"/>
    <w:rsid w:val="009A4165"/>
    <w:rsid w:val="009A41DE"/>
    <w:rsid w:val="009A42CD"/>
    <w:rsid w:val="009A43AA"/>
    <w:rsid w:val="009A4463"/>
    <w:rsid w:val="009A44B5"/>
    <w:rsid w:val="009A453B"/>
    <w:rsid w:val="009A45E0"/>
    <w:rsid w:val="009A4AF1"/>
    <w:rsid w:val="009A4B38"/>
    <w:rsid w:val="009A4FE0"/>
    <w:rsid w:val="009A50D1"/>
    <w:rsid w:val="009A53F9"/>
    <w:rsid w:val="009A563C"/>
    <w:rsid w:val="009A57DE"/>
    <w:rsid w:val="009A57FF"/>
    <w:rsid w:val="009A58CC"/>
    <w:rsid w:val="009A5AAF"/>
    <w:rsid w:val="009A5B1E"/>
    <w:rsid w:val="009A5C1E"/>
    <w:rsid w:val="009A5CDD"/>
    <w:rsid w:val="009A5DDA"/>
    <w:rsid w:val="009A5EC6"/>
    <w:rsid w:val="009A5FC5"/>
    <w:rsid w:val="009A6166"/>
    <w:rsid w:val="009A6199"/>
    <w:rsid w:val="009A624B"/>
    <w:rsid w:val="009A658F"/>
    <w:rsid w:val="009A65F8"/>
    <w:rsid w:val="009A661E"/>
    <w:rsid w:val="009A6671"/>
    <w:rsid w:val="009A683A"/>
    <w:rsid w:val="009A69FB"/>
    <w:rsid w:val="009A6ACF"/>
    <w:rsid w:val="009A6BFA"/>
    <w:rsid w:val="009A6CBF"/>
    <w:rsid w:val="009A6CC6"/>
    <w:rsid w:val="009A6F83"/>
    <w:rsid w:val="009A71C3"/>
    <w:rsid w:val="009A720A"/>
    <w:rsid w:val="009A7537"/>
    <w:rsid w:val="009A75A4"/>
    <w:rsid w:val="009A7617"/>
    <w:rsid w:val="009A7848"/>
    <w:rsid w:val="009A7861"/>
    <w:rsid w:val="009A7BE3"/>
    <w:rsid w:val="009A7DE0"/>
    <w:rsid w:val="009A7F86"/>
    <w:rsid w:val="009B00D5"/>
    <w:rsid w:val="009B00E8"/>
    <w:rsid w:val="009B01A4"/>
    <w:rsid w:val="009B03A3"/>
    <w:rsid w:val="009B0853"/>
    <w:rsid w:val="009B088E"/>
    <w:rsid w:val="009B088F"/>
    <w:rsid w:val="009B0A24"/>
    <w:rsid w:val="009B0AAE"/>
    <w:rsid w:val="009B0E96"/>
    <w:rsid w:val="009B1198"/>
    <w:rsid w:val="009B14EC"/>
    <w:rsid w:val="009B157A"/>
    <w:rsid w:val="009B167B"/>
    <w:rsid w:val="009B16B8"/>
    <w:rsid w:val="009B1781"/>
    <w:rsid w:val="009B18CC"/>
    <w:rsid w:val="009B1A17"/>
    <w:rsid w:val="009B1A7A"/>
    <w:rsid w:val="009B216F"/>
    <w:rsid w:val="009B2249"/>
    <w:rsid w:val="009B2476"/>
    <w:rsid w:val="009B24B7"/>
    <w:rsid w:val="009B2545"/>
    <w:rsid w:val="009B27A9"/>
    <w:rsid w:val="009B280C"/>
    <w:rsid w:val="009B28DA"/>
    <w:rsid w:val="009B2B3F"/>
    <w:rsid w:val="009B2BAF"/>
    <w:rsid w:val="009B2C80"/>
    <w:rsid w:val="009B2CFA"/>
    <w:rsid w:val="009B2DF9"/>
    <w:rsid w:val="009B2E2B"/>
    <w:rsid w:val="009B2E95"/>
    <w:rsid w:val="009B3099"/>
    <w:rsid w:val="009B319B"/>
    <w:rsid w:val="009B3246"/>
    <w:rsid w:val="009B3249"/>
    <w:rsid w:val="009B34DD"/>
    <w:rsid w:val="009B361F"/>
    <w:rsid w:val="009B38C6"/>
    <w:rsid w:val="009B38CD"/>
    <w:rsid w:val="009B3DA3"/>
    <w:rsid w:val="009B4172"/>
    <w:rsid w:val="009B4537"/>
    <w:rsid w:val="009B45D3"/>
    <w:rsid w:val="009B4707"/>
    <w:rsid w:val="009B48DE"/>
    <w:rsid w:val="009B4A19"/>
    <w:rsid w:val="009B4A62"/>
    <w:rsid w:val="009B4BEB"/>
    <w:rsid w:val="009B4DBA"/>
    <w:rsid w:val="009B4E12"/>
    <w:rsid w:val="009B4F2B"/>
    <w:rsid w:val="009B5216"/>
    <w:rsid w:val="009B52B6"/>
    <w:rsid w:val="009B541E"/>
    <w:rsid w:val="009B545D"/>
    <w:rsid w:val="009B553D"/>
    <w:rsid w:val="009B5735"/>
    <w:rsid w:val="009B5799"/>
    <w:rsid w:val="009B58A3"/>
    <w:rsid w:val="009B58A4"/>
    <w:rsid w:val="009B58B7"/>
    <w:rsid w:val="009B58BB"/>
    <w:rsid w:val="009B5977"/>
    <w:rsid w:val="009B5A33"/>
    <w:rsid w:val="009B5F38"/>
    <w:rsid w:val="009B5F3A"/>
    <w:rsid w:val="009B6043"/>
    <w:rsid w:val="009B60DC"/>
    <w:rsid w:val="009B61D5"/>
    <w:rsid w:val="009B669B"/>
    <w:rsid w:val="009B6E75"/>
    <w:rsid w:val="009B6F46"/>
    <w:rsid w:val="009B7305"/>
    <w:rsid w:val="009B73BF"/>
    <w:rsid w:val="009B73D0"/>
    <w:rsid w:val="009B7676"/>
    <w:rsid w:val="009B779F"/>
    <w:rsid w:val="009B78A9"/>
    <w:rsid w:val="009B7949"/>
    <w:rsid w:val="009B7A59"/>
    <w:rsid w:val="009B7A98"/>
    <w:rsid w:val="009B7C0D"/>
    <w:rsid w:val="009B7D12"/>
    <w:rsid w:val="009B7EC7"/>
    <w:rsid w:val="009B7F4E"/>
    <w:rsid w:val="009B7FE6"/>
    <w:rsid w:val="009C0198"/>
    <w:rsid w:val="009C01CD"/>
    <w:rsid w:val="009C02FD"/>
    <w:rsid w:val="009C03C9"/>
    <w:rsid w:val="009C097A"/>
    <w:rsid w:val="009C0CD2"/>
    <w:rsid w:val="009C1076"/>
    <w:rsid w:val="009C10E2"/>
    <w:rsid w:val="009C1330"/>
    <w:rsid w:val="009C156D"/>
    <w:rsid w:val="009C17CB"/>
    <w:rsid w:val="009C180E"/>
    <w:rsid w:val="009C1851"/>
    <w:rsid w:val="009C18D3"/>
    <w:rsid w:val="009C19F5"/>
    <w:rsid w:val="009C1A1D"/>
    <w:rsid w:val="009C1AA3"/>
    <w:rsid w:val="009C1AC7"/>
    <w:rsid w:val="009C1D26"/>
    <w:rsid w:val="009C1D48"/>
    <w:rsid w:val="009C1DA9"/>
    <w:rsid w:val="009C1E64"/>
    <w:rsid w:val="009C1E9E"/>
    <w:rsid w:val="009C21A8"/>
    <w:rsid w:val="009C21F4"/>
    <w:rsid w:val="009C22FA"/>
    <w:rsid w:val="009C24B2"/>
    <w:rsid w:val="009C24FC"/>
    <w:rsid w:val="009C295C"/>
    <w:rsid w:val="009C29CA"/>
    <w:rsid w:val="009C2AD6"/>
    <w:rsid w:val="009C2B5F"/>
    <w:rsid w:val="009C2C05"/>
    <w:rsid w:val="009C2C0B"/>
    <w:rsid w:val="009C2CA7"/>
    <w:rsid w:val="009C2F79"/>
    <w:rsid w:val="009C3281"/>
    <w:rsid w:val="009C3887"/>
    <w:rsid w:val="009C3988"/>
    <w:rsid w:val="009C3A2E"/>
    <w:rsid w:val="009C3E0E"/>
    <w:rsid w:val="009C3F6A"/>
    <w:rsid w:val="009C3FE4"/>
    <w:rsid w:val="009C47DA"/>
    <w:rsid w:val="009C483A"/>
    <w:rsid w:val="009C4849"/>
    <w:rsid w:val="009C48A6"/>
    <w:rsid w:val="009C48C1"/>
    <w:rsid w:val="009C4CE9"/>
    <w:rsid w:val="009C4EB0"/>
    <w:rsid w:val="009C4F9D"/>
    <w:rsid w:val="009C52EE"/>
    <w:rsid w:val="009C539E"/>
    <w:rsid w:val="009C53B8"/>
    <w:rsid w:val="009C56DD"/>
    <w:rsid w:val="009C59A4"/>
    <w:rsid w:val="009C5A3F"/>
    <w:rsid w:val="009C5A7E"/>
    <w:rsid w:val="009C5B39"/>
    <w:rsid w:val="009C5B8F"/>
    <w:rsid w:val="009C5C40"/>
    <w:rsid w:val="009C604C"/>
    <w:rsid w:val="009C617B"/>
    <w:rsid w:val="009C6536"/>
    <w:rsid w:val="009C6575"/>
    <w:rsid w:val="009C657C"/>
    <w:rsid w:val="009C6590"/>
    <w:rsid w:val="009C66F9"/>
    <w:rsid w:val="009C68AF"/>
    <w:rsid w:val="009C6925"/>
    <w:rsid w:val="009C697F"/>
    <w:rsid w:val="009C69A6"/>
    <w:rsid w:val="009C6B01"/>
    <w:rsid w:val="009C6BCD"/>
    <w:rsid w:val="009C6D00"/>
    <w:rsid w:val="009C6D69"/>
    <w:rsid w:val="009C6ECE"/>
    <w:rsid w:val="009C6F5D"/>
    <w:rsid w:val="009C771E"/>
    <w:rsid w:val="009C7864"/>
    <w:rsid w:val="009C78CE"/>
    <w:rsid w:val="009C7916"/>
    <w:rsid w:val="009C7922"/>
    <w:rsid w:val="009C7A82"/>
    <w:rsid w:val="009C7ADA"/>
    <w:rsid w:val="009C7B3D"/>
    <w:rsid w:val="009C7CC1"/>
    <w:rsid w:val="009C7DC7"/>
    <w:rsid w:val="009C7E52"/>
    <w:rsid w:val="009C7EB9"/>
    <w:rsid w:val="009D012E"/>
    <w:rsid w:val="009D02DE"/>
    <w:rsid w:val="009D0371"/>
    <w:rsid w:val="009D0D3E"/>
    <w:rsid w:val="009D0E6B"/>
    <w:rsid w:val="009D107A"/>
    <w:rsid w:val="009D1181"/>
    <w:rsid w:val="009D144B"/>
    <w:rsid w:val="009D15AC"/>
    <w:rsid w:val="009D1654"/>
    <w:rsid w:val="009D167B"/>
    <w:rsid w:val="009D171A"/>
    <w:rsid w:val="009D17FD"/>
    <w:rsid w:val="009D1908"/>
    <w:rsid w:val="009D193D"/>
    <w:rsid w:val="009D197F"/>
    <w:rsid w:val="009D1ACD"/>
    <w:rsid w:val="009D1BB0"/>
    <w:rsid w:val="009D1DCC"/>
    <w:rsid w:val="009D21B0"/>
    <w:rsid w:val="009D21FB"/>
    <w:rsid w:val="009D225E"/>
    <w:rsid w:val="009D2284"/>
    <w:rsid w:val="009D2445"/>
    <w:rsid w:val="009D2655"/>
    <w:rsid w:val="009D2849"/>
    <w:rsid w:val="009D2B26"/>
    <w:rsid w:val="009D2CFF"/>
    <w:rsid w:val="009D2D04"/>
    <w:rsid w:val="009D2E0E"/>
    <w:rsid w:val="009D2E1C"/>
    <w:rsid w:val="009D2E54"/>
    <w:rsid w:val="009D316D"/>
    <w:rsid w:val="009D3335"/>
    <w:rsid w:val="009D3365"/>
    <w:rsid w:val="009D349F"/>
    <w:rsid w:val="009D34EB"/>
    <w:rsid w:val="009D3545"/>
    <w:rsid w:val="009D35B9"/>
    <w:rsid w:val="009D36B0"/>
    <w:rsid w:val="009D36CD"/>
    <w:rsid w:val="009D3850"/>
    <w:rsid w:val="009D39D9"/>
    <w:rsid w:val="009D3AB5"/>
    <w:rsid w:val="009D3AC7"/>
    <w:rsid w:val="009D3C64"/>
    <w:rsid w:val="009D41BD"/>
    <w:rsid w:val="009D4238"/>
    <w:rsid w:val="009D4270"/>
    <w:rsid w:val="009D433F"/>
    <w:rsid w:val="009D435F"/>
    <w:rsid w:val="009D450A"/>
    <w:rsid w:val="009D4513"/>
    <w:rsid w:val="009D4865"/>
    <w:rsid w:val="009D4888"/>
    <w:rsid w:val="009D4A6C"/>
    <w:rsid w:val="009D4B6D"/>
    <w:rsid w:val="009D4B7E"/>
    <w:rsid w:val="009D4BF4"/>
    <w:rsid w:val="009D4D3A"/>
    <w:rsid w:val="009D4D5D"/>
    <w:rsid w:val="009D502C"/>
    <w:rsid w:val="009D5065"/>
    <w:rsid w:val="009D50AB"/>
    <w:rsid w:val="009D5372"/>
    <w:rsid w:val="009D53A1"/>
    <w:rsid w:val="009D59AF"/>
    <w:rsid w:val="009D5B4F"/>
    <w:rsid w:val="009D5B7B"/>
    <w:rsid w:val="009D5CD8"/>
    <w:rsid w:val="009D5EC1"/>
    <w:rsid w:val="009D5ECE"/>
    <w:rsid w:val="009D639A"/>
    <w:rsid w:val="009D64B8"/>
    <w:rsid w:val="009D668A"/>
    <w:rsid w:val="009D6693"/>
    <w:rsid w:val="009D6697"/>
    <w:rsid w:val="009D6787"/>
    <w:rsid w:val="009D6A5B"/>
    <w:rsid w:val="009D6B28"/>
    <w:rsid w:val="009D6CD2"/>
    <w:rsid w:val="009D6D65"/>
    <w:rsid w:val="009D6F9F"/>
    <w:rsid w:val="009D71AC"/>
    <w:rsid w:val="009D7294"/>
    <w:rsid w:val="009D733D"/>
    <w:rsid w:val="009D7367"/>
    <w:rsid w:val="009D74D0"/>
    <w:rsid w:val="009D75ED"/>
    <w:rsid w:val="009D7612"/>
    <w:rsid w:val="009D7613"/>
    <w:rsid w:val="009D7779"/>
    <w:rsid w:val="009D79B7"/>
    <w:rsid w:val="009D7AB5"/>
    <w:rsid w:val="009D7B42"/>
    <w:rsid w:val="009D7B5B"/>
    <w:rsid w:val="009D7CC7"/>
    <w:rsid w:val="009D7E16"/>
    <w:rsid w:val="009E0207"/>
    <w:rsid w:val="009E0384"/>
    <w:rsid w:val="009E0857"/>
    <w:rsid w:val="009E097F"/>
    <w:rsid w:val="009E09AD"/>
    <w:rsid w:val="009E0B34"/>
    <w:rsid w:val="009E0CA5"/>
    <w:rsid w:val="009E0DDC"/>
    <w:rsid w:val="009E1093"/>
    <w:rsid w:val="009E1160"/>
    <w:rsid w:val="009E1313"/>
    <w:rsid w:val="009E1482"/>
    <w:rsid w:val="009E156B"/>
    <w:rsid w:val="009E15ED"/>
    <w:rsid w:val="009E163F"/>
    <w:rsid w:val="009E171B"/>
    <w:rsid w:val="009E1993"/>
    <w:rsid w:val="009E1B2F"/>
    <w:rsid w:val="009E1B60"/>
    <w:rsid w:val="009E1C17"/>
    <w:rsid w:val="009E1D47"/>
    <w:rsid w:val="009E1D66"/>
    <w:rsid w:val="009E1E13"/>
    <w:rsid w:val="009E1E36"/>
    <w:rsid w:val="009E1F14"/>
    <w:rsid w:val="009E200C"/>
    <w:rsid w:val="009E217D"/>
    <w:rsid w:val="009E2677"/>
    <w:rsid w:val="009E2704"/>
    <w:rsid w:val="009E278A"/>
    <w:rsid w:val="009E2921"/>
    <w:rsid w:val="009E292D"/>
    <w:rsid w:val="009E2B8F"/>
    <w:rsid w:val="009E2E3B"/>
    <w:rsid w:val="009E2F39"/>
    <w:rsid w:val="009E300E"/>
    <w:rsid w:val="009E33FF"/>
    <w:rsid w:val="009E344B"/>
    <w:rsid w:val="009E34EF"/>
    <w:rsid w:val="009E3743"/>
    <w:rsid w:val="009E38BC"/>
    <w:rsid w:val="009E38E2"/>
    <w:rsid w:val="009E3A56"/>
    <w:rsid w:val="009E3F70"/>
    <w:rsid w:val="009E4114"/>
    <w:rsid w:val="009E41BE"/>
    <w:rsid w:val="009E44CF"/>
    <w:rsid w:val="009E4536"/>
    <w:rsid w:val="009E4654"/>
    <w:rsid w:val="009E4776"/>
    <w:rsid w:val="009E47A1"/>
    <w:rsid w:val="009E4ADC"/>
    <w:rsid w:val="009E4B19"/>
    <w:rsid w:val="009E4DB2"/>
    <w:rsid w:val="009E4E30"/>
    <w:rsid w:val="009E4EC8"/>
    <w:rsid w:val="009E4F7C"/>
    <w:rsid w:val="009E50EC"/>
    <w:rsid w:val="009E5130"/>
    <w:rsid w:val="009E5627"/>
    <w:rsid w:val="009E5679"/>
    <w:rsid w:val="009E572B"/>
    <w:rsid w:val="009E5786"/>
    <w:rsid w:val="009E5916"/>
    <w:rsid w:val="009E5AF7"/>
    <w:rsid w:val="009E5EB3"/>
    <w:rsid w:val="009E6105"/>
    <w:rsid w:val="009E614B"/>
    <w:rsid w:val="009E62DF"/>
    <w:rsid w:val="009E6499"/>
    <w:rsid w:val="009E664C"/>
    <w:rsid w:val="009E6733"/>
    <w:rsid w:val="009E6842"/>
    <w:rsid w:val="009E6883"/>
    <w:rsid w:val="009E69A9"/>
    <w:rsid w:val="009E69BC"/>
    <w:rsid w:val="009E69EF"/>
    <w:rsid w:val="009E6C11"/>
    <w:rsid w:val="009E6DC0"/>
    <w:rsid w:val="009E6E46"/>
    <w:rsid w:val="009E6F28"/>
    <w:rsid w:val="009E6FFC"/>
    <w:rsid w:val="009E7019"/>
    <w:rsid w:val="009E77CE"/>
    <w:rsid w:val="009E780F"/>
    <w:rsid w:val="009E79D3"/>
    <w:rsid w:val="009E7A4A"/>
    <w:rsid w:val="009E7AA6"/>
    <w:rsid w:val="009E7BD6"/>
    <w:rsid w:val="009E7C04"/>
    <w:rsid w:val="009F0007"/>
    <w:rsid w:val="009F0122"/>
    <w:rsid w:val="009F0560"/>
    <w:rsid w:val="009F0630"/>
    <w:rsid w:val="009F08B3"/>
    <w:rsid w:val="009F08B6"/>
    <w:rsid w:val="009F08C2"/>
    <w:rsid w:val="009F0B3B"/>
    <w:rsid w:val="009F0DB8"/>
    <w:rsid w:val="009F0F31"/>
    <w:rsid w:val="009F0F9F"/>
    <w:rsid w:val="009F0FD2"/>
    <w:rsid w:val="009F126E"/>
    <w:rsid w:val="009F1924"/>
    <w:rsid w:val="009F1937"/>
    <w:rsid w:val="009F1A51"/>
    <w:rsid w:val="009F1B2D"/>
    <w:rsid w:val="009F1BF5"/>
    <w:rsid w:val="009F1C1A"/>
    <w:rsid w:val="009F1E49"/>
    <w:rsid w:val="009F201F"/>
    <w:rsid w:val="009F22B8"/>
    <w:rsid w:val="009F22ED"/>
    <w:rsid w:val="009F24F6"/>
    <w:rsid w:val="009F2903"/>
    <w:rsid w:val="009F29AA"/>
    <w:rsid w:val="009F29DD"/>
    <w:rsid w:val="009F2B9D"/>
    <w:rsid w:val="009F3148"/>
    <w:rsid w:val="009F31BB"/>
    <w:rsid w:val="009F329A"/>
    <w:rsid w:val="009F34FA"/>
    <w:rsid w:val="009F3611"/>
    <w:rsid w:val="009F371C"/>
    <w:rsid w:val="009F381D"/>
    <w:rsid w:val="009F396C"/>
    <w:rsid w:val="009F3A97"/>
    <w:rsid w:val="009F3F0D"/>
    <w:rsid w:val="009F4134"/>
    <w:rsid w:val="009F43FF"/>
    <w:rsid w:val="009F447E"/>
    <w:rsid w:val="009F4493"/>
    <w:rsid w:val="009F45DF"/>
    <w:rsid w:val="009F46C2"/>
    <w:rsid w:val="009F4793"/>
    <w:rsid w:val="009F48C7"/>
    <w:rsid w:val="009F4990"/>
    <w:rsid w:val="009F4D68"/>
    <w:rsid w:val="009F4D9B"/>
    <w:rsid w:val="009F4E62"/>
    <w:rsid w:val="009F4EBB"/>
    <w:rsid w:val="009F4F56"/>
    <w:rsid w:val="009F4FF0"/>
    <w:rsid w:val="009F5036"/>
    <w:rsid w:val="009F5040"/>
    <w:rsid w:val="009F518E"/>
    <w:rsid w:val="009F520C"/>
    <w:rsid w:val="009F53B8"/>
    <w:rsid w:val="009F599E"/>
    <w:rsid w:val="009F5A9B"/>
    <w:rsid w:val="009F5AC0"/>
    <w:rsid w:val="009F5D6B"/>
    <w:rsid w:val="009F5EAA"/>
    <w:rsid w:val="009F619D"/>
    <w:rsid w:val="009F620B"/>
    <w:rsid w:val="009F622A"/>
    <w:rsid w:val="009F63C5"/>
    <w:rsid w:val="009F654C"/>
    <w:rsid w:val="009F684B"/>
    <w:rsid w:val="009F68E1"/>
    <w:rsid w:val="009F68FF"/>
    <w:rsid w:val="009F6DA6"/>
    <w:rsid w:val="009F7025"/>
    <w:rsid w:val="009F725B"/>
    <w:rsid w:val="009F75A4"/>
    <w:rsid w:val="009F7C38"/>
    <w:rsid w:val="009F7C4E"/>
    <w:rsid w:val="009F7CE0"/>
    <w:rsid w:val="00A000E4"/>
    <w:rsid w:val="00A0012A"/>
    <w:rsid w:val="00A00440"/>
    <w:rsid w:val="00A00530"/>
    <w:rsid w:val="00A006FB"/>
    <w:rsid w:val="00A009B1"/>
    <w:rsid w:val="00A009DE"/>
    <w:rsid w:val="00A00C23"/>
    <w:rsid w:val="00A00C6A"/>
    <w:rsid w:val="00A00F1A"/>
    <w:rsid w:val="00A0102D"/>
    <w:rsid w:val="00A01041"/>
    <w:rsid w:val="00A01167"/>
    <w:rsid w:val="00A011B4"/>
    <w:rsid w:val="00A01382"/>
    <w:rsid w:val="00A01571"/>
    <w:rsid w:val="00A015E8"/>
    <w:rsid w:val="00A0187E"/>
    <w:rsid w:val="00A018A7"/>
    <w:rsid w:val="00A018CE"/>
    <w:rsid w:val="00A01A05"/>
    <w:rsid w:val="00A01C09"/>
    <w:rsid w:val="00A01DEE"/>
    <w:rsid w:val="00A01F2E"/>
    <w:rsid w:val="00A01F68"/>
    <w:rsid w:val="00A02124"/>
    <w:rsid w:val="00A02128"/>
    <w:rsid w:val="00A02421"/>
    <w:rsid w:val="00A024BC"/>
    <w:rsid w:val="00A02527"/>
    <w:rsid w:val="00A026D2"/>
    <w:rsid w:val="00A02743"/>
    <w:rsid w:val="00A0277F"/>
    <w:rsid w:val="00A027D6"/>
    <w:rsid w:val="00A027FE"/>
    <w:rsid w:val="00A028FC"/>
    <w:rsid w:val="00A0290F"/>
    <w:rsid w:val="00A02B75"/>
    <w:rsid w:val="00A02FCB"/>
    <w:rsid w:val="00A03058"/>
    <w:rsid w:val="00A03356"/>
    <w:rsid w:val="00A03A82"/>
    <w:rsid w:val="00A03C8B"/>
    <w:rsid w:val="00A03C92"/>
    <w:rsid w:val="00A03CBB"/>
    <w:rsid w:val="00A03CF7"/>
    <w:rsid w:val="00A03E68"/>
    <w:rsid w:val="00A03F56"/>
    <w:rsid w:val="00A03FF1"/>
    <w:rsid w:val="00A04036"/>
    <w:rsid w:val="00A041CB"/>
    <w:rsid w:val="00A043C9"/>
    <w:rsid w:val="00A04463"/>
    <w:rsid w:val="00A045C0"/>
    <w:rsid w:val="00A0495E"/>
    <w:rsid w:val="00A04962"/>
    <w:rsid w:val="00A04A56"/>
    <w:rsid w:val="00A04A84"/>
    <w:rsid w:val="00A04A93"/>
    <w:rsid w:val="00A04FA2"/>
    <w:rsid w:val="00A05095"/>
    <w:rsid w:val="00A050AA"/>
    <w:rsid w:val="00A050EE"/>
    <w:rsid w:val="00A05319"/>
    <w:rsid w:val="00A05424"/>
    <w:rsid w:val="00A05703"/>
    <w:rsid w:val="00A05858"/>
    <w:rsid w:val="00A05889"/>
    <w:rsid w:val="00A058D3"/>
    <w:rsid w:val="00A05A09"/>
    <w:rsid w:val="00A05CD7"/>
    <w:rsid w:val="00A05E73"/>
    <w:rsid w:val="00A05EFB"/>
    <w:rsid w:val="00A062A4"/>
    <w:rsid w:val="00A062F7"/>
    <w:rsid w:val="00A066ED"/>
    <w:rsid w:val="00A068AB"/>
    <w:rsid w:val="00A06B5F"/>
    <w:rsid w:val="00A06D38"/>
    <w:rsid w:val="00A07049"/>
    <w:rsid w:val="00A075EE"/>
    <w:rsid w:val="00A07825"/>
    <w:rsid w:val="00A078AC"/>
    <w:rsid w:val="00A07A41"/>
    <w:rsid w:val="00A07AF6"/>
    <w:rsid w:val="00A07C49"/>
    <w:rsid w:val="00A07D09"/>
    <w:rsid w:val="00A07D1F"/>
    <w:rsid w:val="00A07D47"/>
    <w:rsid w:val="00A07F2A"/>
    <w:rsid w:val="00A07F50"/>
    <w:rsid w:val="00A10141"/>
    <w:rsid w:val="00A101BD"/>
    <w:rsid w:val="00A10229"/>
    <w:rsid w:val="00A10273"/>
    <w:rsid w:val="00A103A7"/>
    <w:rsid w:val="00A103CE"/>
    <w:rsid w:val="00A10515"/>
    <w:rsid w:val="00A10593"/>
    <w:rsid w:val="00A105E5"/>
    <w:rsid w:val="00A106F3"/>
    <w:rsid w:val="00A108B6"/>
    <w:rsid w:val="00A109FA"/>
    <w:rsid w:val="00A10BE8"/>
    <w:rsid w:val="00A10C4F"/>
    <w:rsid w:val="00A10D80"/>
    <w:rsid w:val="00A10DE4"/>
    <w:rsid w:val="00A10EA7"/>
    <w:rsid w:val="00A10EF4"/>
    <w:rsid w:val="00A10EFB"/>
    <w:rsid w:val="00A11090"/>
    <w:rsid w:val="00A111C7"/>
    <w:rsid w:val="00A11216"/>
    <w:rsid w:val="00A11278"/>
    <w:rsid w:val="00A112DF"/>
    <w:rsid w:val="00A1130E"/>
    <w:rsid w:val="00A1167E"/>
    <w:rsid w:val="00A11711"/>
    <w:rsid w:val="00A1191C"/>
    <w:rsid w:val="00A119DE"/>
    <w:rsid w:val="00A11CED"/>
    <w:rsid w:val="00A12083"/>
    <w:rsid w:val="00A1247B"/>
    <w:rsid w:val="00A124D0"/>
    <w:rsid w:val="00A12562"/>
    <w:rsid w:val="00A12B83"/>
    <w:rsid w:val="00A12DCF"/>
    <w:rsid w:val="00A12F62"/>
    <w:rsid w:val="00A12F7D"/>
    <w:rsid w:val="00A133C6"/>
    <w:rsid w:val="00A134D6"/>
    <w:rsid w:val="00A13652"/>
    <w:rsid w:val="00A13AD4"/>
    <w:rsid w:val="00A13BFA"/>
    <w:rsid w:val="00A13C04"/>
    <w:rsid w:val="00A13CB0"/>
    <w:rsid w:val="00A13CCC"/>
    <w:rsid w:val="00A1415B"/>
    <w:rsid w:val="00A142B3"/>
    <w:rsid w:val="00A14717"/>
    <w:rsid w:val="00A148F2"/>
    <w:rsid w:val="00A148F7"/>
    <w:rsid w:val="00A148FF"/>
    <w:rsid w:val="00A14920"/>
    <w:rsid w:val="00A14AD1"/>
    <w:rsid w:val="00A14CCB"/>
    <w:rsid w:val="00A14D0F"/>
    <w:rsid w:val="00A14FBD"/>
    <w:rsid w:val="00A14FE9"/>
    <w:rsid w:val="00A150C3"/>
    <w:rsid w:val="00A150F9"/>
    <w:rsid w:val="00A15299"/>
    <w:rsid w:val="00A154B5"/>
    <w:rsid w:val="00A154F2"/>
    <w:rsid w:val="00A15511"/>
    <w:rsid w:val="00A155F0"/>
    <w:rsid w:val="00A15639"/>
    <w:rsid w:val="00A156D2"/>
    <w:rsid w:val="00A15700"/>
    <w:rsid w:val="00A1574C"/>
    <w:rsid w:val="00A1581C"/>
    <w:rsid w:val="00A15A90"/>
    <w:rsid w:val="00A15B8C"/>
    <w:rsid w:val="00A15C73"/>
    <w:rsid w:val="00A15CA9"/>
    <w:rsid w:val="00A15D03"/>
    <w:rsid w:val="00A15E8E"/>
    <w:rsid w:val="00A16026"/>
    <w:rsid w:val="00A16391"/>
    <w:rsid w:val="00A163E0"/>
    <w:rsid w:val="00A1647C"/>
    <w:rsid w:val="00A164C7"/>
    <w:rsid w:val="00A165F4"/>
    <w:rsid w:val="00A165FD"/>
    <w:rsid w:val="00A167FE"/>
    <w:rsid w:val="00A16AA0"/>
    <w:rsid w:val="00A16BC3"/>
    <w:rsid w:val="00A16FB9"/>
    <w:rsid w:val="00A17278"/>
    <w:rsid w:val="00A17626"/>
    <w:rsid w:val="00A17742"/>
    <w:rsid w:val="00A1786B"/>
    <w:rsid w:val="00A17B31"/>
    <w:rsid w:val="00A17C12"/>
    <w:rsid w:val="00A2014A"/>
    <w:rsid w:val="00A20189"/>
    <w:rsid w:val="00A201D3"/>
    <w:rsid w:val="00A201D5"/>
    <w:rsid w:val="00A207B3"/>
    <w:rsid w:val="00A2096F"/>
    <w:rsid w:val="00A20A51"/>
    <w:rsid w:val="00A20FE5"/>
    <w:rsid w:val="00A211F7"/>
    <w:rsid w:val="00A21475"/>
    <w:rsid w:val="00A21579"/>
    <w:rsid w:val="00A2159C"/>
    <w:rsid w:val="00A21878"/>
    <w:rsid w:val="00A21999"/>
    <w:rsid w:val="00A21A02"/>
    <w:rsid w:val="00A21AA4"/>
    <w:rsid w:val="00A21BF6"/>
    <w:rsid w:val="00A21C59"/>
    <w:rsid w:val="00A21DBA"/>
    <w:rsid w:val="00A21F46"/>
    <w:rsid w:val="00A21FCF"/>
    <w:rsid w:val="00A21FEF"/>
    <w:rsid w:val="00A22191"/>
    <w:rsid w:val="00A22232"/>
    <w:rsid w:val="00A22289"/>
    <w:rsid w:val="00A222F7"/>
    <w:rsid w:val="00A224D0"/>
    <w:rsid w:val="00A22517"/>
    <w:rsid w:val="00A2286A"/>
    <w:rsid w:val="00A22914"/>
    <w:rsid w:val="00A22971"/>
    <w:rsid w:val="00A22C79"/>
    <w:rsid w:val="00A22CB3"/>
    <w:rsid w:val="00A22E67"/>
    <w:rsid w:val="00A22F07"/>
    <w:rsid w:val="00A22F12"/>
    <w:rsid w:val="00A22F3E"/>
    <w:rsid w:val="00A23017"/>
    <w:rsid w:val="00A23032"/>
    <w:rsid w:val="00A23038"/>
    <w:rsid w:val="00A230A9"/>
    <w:rsid w:val="00A23118"/>
    <w:rsid w:val="00A231EF"/>
    <w:rsid w:val="00A23227"/>
    <w:rsid w:val="00A237A4"/>
    <w:rsid w:val="00A238BD"/>
    <w:rsid w:val="00A23966"/>
    <w:rsid w:val="00A23AA2"/>
    <w:rsid w:val="00A23B7F"/>
    <w:rsid w:val="00A23CA4"/>
    <w:rsid w:val="00A23F4B"/>
    <w:rsid w:val="00A24242"/>
    <w:rsid w:val="00A246A9"/>
    <w:rsid w:val="00A246BB"/>
    <w:rsid w:val="00A24742"/>
    <w:rsid w:val="00A24885"/>
    <w:rsid w:val="00A248B1"/>
    <w:rsid w:val="00A249B7"/>
    <w:rsid w:val="00A249C4"/>
    <w:rsid w:val="00A24B60"/>
    <w:rsid w:val="00A24D34"/>
    <w:rsid w:val="00A24D6B"/>
    <w:rsid w:val="00A24DEF"/>
    <w:rsid w:val="00A24E52"/>
    <w:rsid w:val="00A24FF5"/>
    <w:rsid w:val="00A2503B"/>
    <w:rsid w:val="00A25125"/>
    <w:rsid w:val="00A2517A"/>
    <w:rsid w:val="00A251D5"/>
    <w:rsid w:val="00A25315"/>
    <w:rsid w:val="00A254A3"/>
    <w:rsid w:val="00A254EC"/>
    <w:rsid w:val="00A25573"/>
    <w:rsid w:val="00A25780"/>
    <w:rsid w:val="00A257AF"/>
    <w:rsid w:val="00A25939"/>
    <w:rsid w:val="00A25D1F"/>
    <w:rsid w:val="00A25DE0"/>
    <w:rsid w:val="00A267BA"/>
    <w:rsid w:val="00A26915"/>
    <w:rsid w:val="00A27057"/>
    <w:rsid w:val="00A27306"/>
    <w:rsid w:val="00A2746D"/>
    <w:rsid w:val="00A2767A"/>
    <w:rsid w:val="00A277E3"/>
    <w:rsid w:val="00A278E1"/>
    <w:rsid w:val="00A27B48"/>
    <w:rsid w:val="00A27CA2"/>
    <w:rsid w:val="00A27FFC"/>
    <w:rsid w:val="00A30091"/>
    <w:rsid w:val="00A300EF"/>
    <w:rsid w:val="00A304AC"/>
    <w:rsid w:val="00A304C0"/>
    <w:rsid w:val="00A30664"/>
    <w:rsid w:val="00A30681"/>
    <w:rsid w:val="00A306ED"/>
    <w:rsid w:val="00A30D49"/>
    <w:rsid w:val="00A3104E"/>
    <w:rsid w:val="00A31142"/>
    <w:rsid w:val="00A311E7"/>
    <w:rsid w:val="00A311F5"/>
    <w:rsid w:val="00A313F1"/>
    <w:rsid w:val="00A3148D"/>
    <w:rsid w:val="00A314CA"/>
    <w:rsid w:val="00A317F1"/>
    <w:rsid w:val="00A31F7C"/>
    <w:rsid w:val="00A321A9"/>
    <w:rsid w:val="00A3220C"/>
    <w:rsid w:val="00A3258D"/>
    <w:rsid w:val="00A325C2"/>
    <w:rsid w:val="00A329D9"/>
    <w:rsid w:val="00A32A97"/>
    <w:rsid w:val="00A32BCE"/>
    <w:rsid w:val="00A32D60"/>
    <w:rsid w:val="00A32E9C"/>
    <w:rsid w:val="00A32F76"/>
    <w:rsid w:val="00A32FA1"/>
    <w:rsid w:val="00A32FA3"/>
    <w:rsid w:val="00A33063"/>
    <w:rsid w:val="00A33319"/>
    <w:rsid w:val="00A33398"/>
    <w:rsid w:val="00A333FC"/>
    <w:rsid w:val="00A33556"/>
    <w:rsid w:val="00A33678"/>
    <w:rsid w:val="00A336B0"/>
    <w:rsid w:val="00A33700"/>
    <w:rsid w:val="00A3389A"/>
    <w:rsid w:val="00A33AEE"/>
    <w:rsid w:val="00A33BB3"/>
    <w:rsid w:val="00A33D1C"/>
    <w:rsid w:val="00A33EDD"/>
    <w:rsid w:val="00A33F7B"/>
    <w:rsid w:val="00A3403F"/>
    <w:rsid w:val="00A3436F"/>
    <w:rsid w:val="00A343C9"/>
    <w:rsid w:val="00A34469"/>
    <w:rsid w:val="00A345BF"/>
    <w:rsid w:val="00A34658"/>
    <w:rsid w:val="00A349D7"/>
    <w:rsid w:val="00A349DE"/>
    <w:rsid w:val="00A34A70"/>
    <w:rsid w:val="00A34FD2"/>
    <w:rsid w:val="00A352E0"/>
    <w:rsid w:val="00A353B8"/>
    <w:rsid w:val="00A355D2"/>
    <w:rsid w:val="00A356C7"/>
    <w:rsid w:val="00A35925"/>
    <w:rsid w:val="00A35AAC"/>
    <w:rsid w:val="00A35B90"/>
    <w:rsid w:val="00A35D28"/>
    <w:rsid w:val="00A35D45"/>
    <w:rsid w:val="00A35D81"/>
    <w:rsid w:val="00A35DDD"/>
    <w:rsid w:val="00A35EEB"/>
    <w:rsid w:val="00A35F74"/>
    <w:rsid w:val="00A35FD4"/>
    <w:rsid w:val="00A35FF8"/>
    <w:rsid w:val="00A36132"/>
    <w:rsid w:val="00A36B74"/>
    <w:rsid w:val="00A36CA0"/>
    <w:rsid w:val="00A36E87"/>
    <w:rsid w:val="00A36F07"/>
    <w:rsid w:val="00A36F31"/>
    <w:rsid w:val="00A36FA4"/>
    <w:rsid w:val="00A37002"/>
    <w:rsid w:val="00A37116"/>
    <w:rsid w:val="00A37129"/>
    <w:rsid w:val="00A373D5"/>
    <w:rsid w:val="00A37425"/>
    <w:rsid w:val="00A3749B"/>
    <w:rsid w:val="00A3781A"/>
    <w:rsid w:val="00A3791C"/>
    <w:rsid w:val="00A37923"/>
    <w:rsid w:val="00A379BA"/>
    <w:rsid w:val="00A37CE5"/>
    <w:rsid w:val="00A37D87"/>
    <w:rsid w:val="00A40043"/>
    <w:rsid w:val="00A4012A"/>
    <w:rsid w:val="00A4017C"/>
    <w:rsid w:val="00A401F8"/>
    <w:rsid w:val="00A402AF"/>
    <w:rsid w:val="00A402E4"/>
    <w:rsid w:val="00A4038C"/>
    <w:rsid w:val="00A405C1"/>
    <w:rsid w:val="00A405D4"/>
    <w:rsid w:val="00A4089B"/>
    <w:rsid w:val="00A408D8"/>
    <w:rsid w:val="00A40E3B"/>
    <w:rsid w:val="00A41026"/>
    <w:rsid w:val="00A41103"/>
    <w:rsid w:val="00A41158"/>
    <w:rsid w:val="00A413B0"/>
    <w:rsid w:val="00A4149D"/>
    <w:rsid w:val="00A41585"/>
    <w:rsid w:val="00A41788"/>
    <w:rsid w:val="00A41888"/>
    <w:rsid w:val="00A419A1"/>
    <w:rsid w:val="00A41A80"/>
    <w:rsid w:val="00A41B36"/>
    <w:rsid w:val="00A41C96"/>
    <w:rsid w:val="00A41DD2"/>
    <w:rsid w:val="00A41F72"/>
    <w:rsid w:val="00A4217C"/>
    <w:rsid w:val="00A42237"/>
    <w:rsid w:val="00A4229A"/>
    <w:rsid w:val="00A4253C"/>
    <w:rsid w:val="00A4261B"/>
    <w:rsid w:val="00A42642"/>
    <w:rsid w:val="00A426C3"/>
    <w:rsid w:val="00A42854"/>
    <w:rsid w:val="00A429C7"/>
    <w:rsid w:val="00A42B83"/>
    <w:rsid w:val="00A42E50"/>
    <w:rsid w:val="00A42EDE"/>
    <w:rsid w:val="00A434BC"/>
    <w:rsid w:val="00A435AA"/>
    <w:rsid w:val="00A436CF"/>
    <w:rsid w:val="00A437FF"/>
    <w:rsid w:val="00A43B14"/>
    <w:rsid w:val="00A43C45"/>
    <w:rsid w:val="00A43E05"/>
    <w:rsid w:val="00A43E8B"/>
    <w:rsid w:val="00A43FE5"/>
    <w:rsid w:val="00A443DC"/>
    <w:rsid w:val="00A44429"/>
    <w:rsid w:val="00A4442B"/>
    <w:rsid w:val="00A444BF"/>
    <w:rsid w:val="00A446EA"/>
    <w:rsid w:val="00A44747"/>
    <w:rsid w:val="00A447A7"/>
    <w:rsid w:val="00A4484B"/>
    <w:rsid w:val="00A4491A"/>
    <w:rsid w:val="00A4498F"/>
    <w:rsid w:val="00A44A0E"/>
    <w:rsid w:val="00A44B35"/>
    <w:rsid w:val="00A44FEE"/>
    <w:rsid w:val="00A45050"/>
    <w:rsid w:val="00A45081"/>
    <w:rsid w:val="00A450B0"/>
    <w:rsid w:val="00A452A7"/>
    <w:rsid w:val="00A45612"/>
    <w:rsid w:val="00A45792"/>
    <w:rsid w:val="00A459C0"/>
    <w:rsid w:val="00A459C3"/>
    <w:rsid w:val="00A45B88"/>
    <w:rsid w:val="00A45BC2"/>
    <w:rsid w:val="00A45BF7"/>
    <w:rsid w:val="00A45CC7"/>
    <w:rsid w:val="00A45D71"/>
    <w:rsid w:val="00A45EF7"/>
    <w:rsid w:val="00A4606E"/>
    <w:rsid w:val="00A4609E"/>
    <w:rsid w:val="00A460B9"/>
    <w:rsid w:val="00A46101"/>
    <w:rsid w:val="00A46120"/>
    <w:rsid w:val="00A4637C"/>
    <w:rsid w:val="00A46518"/>
    <w:rsid w:val="00A46873"/>
    <w:rsid w:val="00A469A9"/>
    <w:rsid w:val="00A46B8F"/>
    <w:rsid w:val="00A46BBE"/>
    <w:rsid w:val="00A46CEE"/>
    <w:rsid w:val="00A46E21"/>
    <w:rsid w:val="00A46E31"/>
    <w:rsid w:val="00A46F75"/>
    <w:rsid w:val="00A46FE0"/>
    <w:rsid w:val="00A47043"/>
    <w:rsid w:val="00A473D1"/>
    <w:rsid w:val="00A4748E"/>
    <w:rsid w:val="00A475C6"/>
    <w:rsid w:val="00A47755"/>
    <w:rsid w:val="00A477A4"/>
    <w:rsid w:val="00A47806"/>
    <w:rsid w:val="00A478F6"/>
    <w:rsid w:val="00A479A2"/>
    <w:rsid w:val="00A47C4E"/>
    <w:rsid w:val="00A47E07"/>
    <w:rsid w:val="00A501DA"/>
    <w:rsid w:val="00A503E0"/>
    <w:rsid w:val="00A505BE"/>
    <w:rsid w:val="00A50665"/>
    <w:rsid w:val="00A50923"/>
    <w:rsid w:val="00A5092A"/>
    <w:rsid w:val="00A50946"/>
    <w:rsid w:val="00A50D88"/>
    <w:rsid w:val="00A50DE5"/>
    <w:rsid w:val="00A50F24"/>
    <w:rsid w:val="00A50FB1"/>
    <w:rsid w:val="00A51056"/>
    <w:rsid w:val="00A510AF"/>
    <w:rsid w:val="00A511BF"/>
    <w:rsid w:val="00A51358"/>
    <w:rsid w:val="00A515A7"/>
    <w:rsid w:val="00A518C7"/>
    <w:rsid w:val="00A51946"/>
    <w:rsid w:val="00A519BA"/>
    <w:rsid w:val="00A51ED9"/>
    <w:rsid w:val="00A51FD3"/>
    <w:rsid w:val="00A52001"/>
    <w:rsid w:val="00A524DA"/>
    <w:rsid w:val="00A526A0"/>
    <w:rsid w:val="00A52843"/>
    <w:rsid w:val="00A52B44"/>
    <w:rsid w:val="00A52C2B"/>
    <w:rsid w:val="00A52DC9"/>
    <w:rsid w:val="00A52DEF"/>
    <w:rsid w:val="00A52F49"/>
    <w:rsid w:val="00A5310C"/>
    <w:rsid w:val="00A533DC"/>
    <w:rsid w:val="00A53871"/>
    <w:rsid w:val="00A53F81"/>
    <w:rsid w:val="00A54056"/>
    <w:rsid w:val="00A54061"/>
    <w:rsid w:val="00A5414B"/>
    <w:rsid w:val="00A5414F"/>
    <w:rsid w:val="00A54368"/>
    <w:rsid w:val="00A545DF"/>
    <w:rsid w:val="00A54654"/>
    <w:rsid w:val="00A547CC"/>
    <w:rsid w:val="00A548EB"/>
    <w:rsid w:val="00A54A73"/>
    <w:rsid w:val="00A54B23"/>
    <w:rsid w:val="00A54BA5"/>
    <w:rsid w:val="00A54DA5"/>
    <w:rsid w:val="00A54DB7"/>
    <w:rsid w:val="00A54DDE"/>
    <w:rsid w:val="00A54ED2"/>
    <w:rsid w:val="00A54ED9"/>
    <w:rsid w:val="00A5519C"/>
    <w:rsid w:val="00A552D9"/>
    <w:rsid w:val="00A5539E"/>
    <w:rsid w:val="00A5556C"/>
    <w:rsid w:val="00A555B5"/>
    <w:rsid w:val="00A556D0"/>
    <w:rsid w:val="00A55EF0"/>
    <w:rsid w:val="00A55F0D"/>
    <w:rsid w:val="00A55F1E"/>
    <w:rsid w:val="00A56116"/>
    <w:rsid w:val="00A56266"/>
    <w:rsid w:val="00A56474"/>
    <w:rsid w:val="00A56478"/>
    <w:rsid w:val="00A5647D"/>
    <w:rsid w:val="00A5648B"/>
    <w:rsid w:val="00A564D7"/>
    <w:rsid w:val="00A56788"/>
    <w:rsid w:val="00A56923"/>
    <w:rsid w:val="00A5699E"/>
    <w:rsid w:val="00A56DFE"/>
    <w:rsid w:val="00A56E16"/>
    <w:rsid w:val="00A56E5A"/>
    <w:rsid w:val="00A56F8F"/>
    <w:rsid w:val="00A56FA2"/>
    <w:rsid w:val="00A570A1"/>
    <w:rsid w:val="00A571FE"/>
    <w:rsid w:val="00A5762A"/>
    <w:rsid w:val="00A57B68"/>
    <w:rsid w:val="00A57E36"/>
    <w:rsid w:val="00A60221"/>
    <w:rsid w:val="00A6029A"/>
    <w:rsid w:val="00A60398"/>
    <w:rsid w:val="00A6041C"/>
    <w:rsid w:val="00A604CF"/>
    <w:rsid w:val="00A60722"/>
    <w:rsid w:val="00A60AA5"/>
    <w:rsid w:val="00A60AE9"/>
    <w:rsid w:val="00A60CD8"/>
    <w:rsid w:val="00A60D0F"/>
    <w:rsid w:val="00A6144D"/>
    <w:rsid w:val="00A614E4"/>
    <w:rsid w:val="00A614F7"/>
    <w:rsid w:val="00A615F3"/>
    <w:rsid w:val="00A61658"/>
    <w:rsid w:val="00A61716"/>
    <w:rsid w:val="00A61B77"/>
    <w:rsid w:val="00A61CC6"/>
    <w:rsid w:val="00A61D24"/>
    <w:rsid w:val="00A61FE9"/>
    <w:rsid w:val="00A621AA"/>
    <w:rsid w:val="00A621B5"/>
    <w:rsid w:val="00A62282"/>
    <w:rsid w:val="00A62439"/>
    <w:rsid w:val="00A629AE"/>
    <w:rsid w:val="00A629FC"/>
    <w:rsid w:val="00A62C86"/>
    <w:rsid w:val="00A62D40"/>
    <w:rsid w:val="00A62D4B"/>
    <w:rsid w:val="00A62E3F"/>
    <w:rsid w:val="00A62E42"/>
    <w:rsid w:val="00A62E7C"/>
    <w:rsid w:val="00A630B7"/>
    <w:rsid w:val="00A63268"/>
    <w:rsid w:val="00A63285"/>
    <w:rsid w:val="00A63448"/>
    <w:rsid w:val="00A63627"/>
    <w:rsid w:val="00A636EB"/>
    <w:rsid w:val="00A6393A"/>
    <w:rsid w:val="00A63B1D"/>
    <w:rsid w:val="00A63B3F"/>
    <w:rsid w:val="00A63CC9"/>
    <w:rsid w:val="00A63CF5"/>
    <w:rsid w:val="00A63E1F"/>
    <w:rsid w:val="00A63E80"/>
    <w:rsid w:val="00A63FC0"/>
    <w:rsid w:val="00A6409F"/>
    <w:rsid w:val="00A64316"/>
    <w:rsid w:val="00A64562"/>
    <w:rsid w:val="00A64638"/>
    <w:rsid w:val="00A64651"/>
    <w:rsid w:val="00A646CC"/>
    <w:rsid w:val="00A6498D"/>
    <w:rsid w:val="00A64A71"/>
    <w:rsid w:val="00A64C38"/>
    <w:rsid w:val="00A64CE4"/>
    <w:rsid w:val="00A64F76"/>
    <w:rsid w:val="00A6528C"/>
    <w:rsid w:val="00A6534C"/>
    <w:rsid w:val="00A654ED"/>
    <w:rsid w:val="00A65523"/>
    <w:rsid w:val="00A6569D"/>
    <w:rsid w:val="00A658B8"/>
    <w:rsid w:val="00A659DF"/>
    <w:rsid w:val="00A65A9B"/>
    <w:rsid w:val="00A65AB6"/>
    <w:rsid w:val="00A65B86"/>
    <w:rsid w:val="00A65C35"/>
    <w:rsid w:val="00A65C6F"/>
    <w:rsid w:val="00A65D91"/>
    <w:rsid w:val="00A65DE8"/>
    <w:rsid w:val="00A65FDE"/>
    <w:rsid w:val="00A66000"/>
    <w:rsid w:val="00A66375"/>
    <w:rsid w:val="00A66450"/>
    <w:rsid w:val="00A66456"/>
    <w:rsid w:val="00A6647A"/>
    <w:rsid w:val="00A666CA"/>
    <w:rsid w:val="00A66808"/>
    <w:rsid w:val="00A66EFF"/>
    <w:rsid w:val="00A6711D"/>
    <w:rsid w:val="00A674DC"/>
    <w:rsid w:val="00A67535"/>
    <w:rsid w:val="00A67615"/>
    <w:rsid w:val="00A6761B"/>
    <w:rsid w:val="00A67A2F"/>
    <w:rsid w:val="00A67BBA"/>
    <w:rsid w:val="00A67D9B"/>
    <w:rsid w:val="00A67D9C"/>
    <w:rsid w:val="00A67EE1"/>
    <w:rsid w:val="00A67F4C"/>
    <w:rsid w:val="00A67F63"/>
    <w:rsid w:val="00A70023"/>
    <w:rsid w:val="00A703B6"/>
    <w:rsid w:val="00A7094B"/>
    <w:rsid w:val="00A709EA"/>
    <w:rsid w:val="00A71239"/>
    <w:rsid w:val="00A7129C"/>
    <w:rsid w:val="00A712C2"/>
    <w:rsid w:val="00A714E5"/>
    <w:rsid w:val="00A71503"/>
    <w:rsid w:val="00A71576"/>
    <w:rsid w:val="00A715F2"/>
    <w:rsid w:val="00A7176F"/>
    <w:rsid w:val="00A717E4"/>
    <w:rsid w:val="00A7185D"/>
    <w:rsid w:val="00A71918"/>
    <w:rsid w:val="00A71A1D"/>
    <w:rsid w:val="00A7200E"/>
    <w:rsid w:val="00A7218C"/>
    <w:rsid w:val="00A7229E"/>
    <w:rsid w:val="00A72316"/>
    <w:rsid w:val="00A7236C"/>
    <w:rsid w:val="00A72490"/>
    <w:rsid w:val="00A726F2"/>
    <w:rsid w:val="00A72960"/>
    <w:rsid w:val="00A729D8"/>
    <w:rsid w:val="00A72B20"/>
    <w:rsid w:val="00A72B4C"/>
    <w:rsid w:val="00A72D29"/>
    <w:rsid w:val="00A72D8F"/>
    <w:rsid w:val="00A72DE9"/>
    <w:rsid w:val="00A73125"/>
    <w:rsid w:val="00A73155"/>
    <w:rsid w:val="00A73288"/>
    <w:rsid w:val="00A73337"/>
    <w:rsid w:val="00A733C9"/>
    <w:rsid w:val="00A73710"/>
    <w:rsid w:val="00A738ED"/>
    <w:rsid w:val="00A73999"/>
    <w:rsid w:val="00A73AC3"/>
    <w:rsid w:val="00A73CA0"/>
    <w:rsid w:val="00A73DEE"/>
    <w:rsid w:val="00A73FA4"/>
    <w:rsid w:val="00A74033"/>
    <w:rsid w:val="00A7404B"/>
    <w:rsid w:val="00A740AB"/>
    <w:rsid w:val="00A7415F"/>
    <w:rsid w:val="00A74398"/>
    <w:rsid w:val="00A74815"/>
    <w:rsid w:val="00A74964"/>
    <w:rsid w:val="00A74994"/>
    <w:rsid w:val="00A74A4E"/>
    <w:rsid w:val="00A74A66"/>
    <w:rsid w:val="00A74B9C"/>
    <w:rsid w:val="00A74D81"/>
    <w:rsid w:val="00A74DFA"/>
    <w:rsid w:val="00A7509D"/>
    <w:rsid w:val="00A75125"/>
    <w:rsid w:val="00A75150"/>
    <w:rsid w:val="00A7528F"/>
    <w:rsid w:val="00A75345"/>
    <w:rsid w:val="00A75545"/>
    <w:rsid w:val="00A755C4"/>
    <w:rsid w:val="00A75667"/>
    <w:rsid w:val="00A75739"/>
    <w:rsid w:val="00A75826"/>
    <w:rsid w:val="00A7598B"/>
    <w:rsid w:val="00A75C05"/>
    <w:rsid w:val="00A75DEE"/>
    <w:rsid w:val="00A75F74"/>
    <w:rsid w:val="00A76066"/>
    <w:rsid w:val="00A760BE"/>
    <w:rsid w:val="00A764A0"/>
    <w:rsid w:val="00A767CB"/>
    <w:rsid w:val="00A7688C"/>
    <w:rsid w:val="00A76906"/>
    <w:rsid w:val="00A769B9"/>
    <w:rsid w:val="00A769F8"/>
    <w:rsid w:val="00A76ACF"/>
    <w:rsid w:val="00A76B94"/>
    <w:rsid w:val="00A76BD2"/>
    <w:rsid w:val="00A76BF0"/>
    <w:rsid w:val="00A76CFB"/>
    <w:rsid w:val="00A76F67"/>
    <w:rsid w:val="00A7727F"/>
    <w:rsid w:val="00A77386"/>
    <w:rsid w:val="00A77525"/>
    <w:rsid w:val="00A775CE"/>
    <w:rsid w:val="00A7764F"/>
    <w:rsid w:val="00A77685"/>
    <w:rsid w:val="00A77763"/>
    <w:rsid w:val="00A7781F"/>
    <w:rsid w:val="00A77B30"/>
    <w:rsid w:val="00A8030D"/>
    <w:rsid w:val="00A8081B"/>
    <w:rsid w:val="00A8092F"/>
    <w:rsid w:val="00A809C6"/>
    <w:rsid w:val="00A80EF6"/>
    <w:rsid w:val="00A81378"/>
    <w:rsid w:val="00A8140E"/>
    <w:rsid w:val="00A8151E"/>
    <w:rsid w:val="00A8164F"/>
    <w:rsid w:val="00A81712"/>
    <w:rsid w:val="00A819B0"/>
    <w:rsid w:val="00A81A6F"/>
    <w:rsid w:val="00A81D6C"/>
    <w:rsid w:val="00A81E6F"/>
    <w:rsid w:val="00A81F39"/>
    <w:rsid w:val="00A82268"/>
    <w:rsid w:val="00A82364"/>
    <w:rsid w:val="00A829F2"/>
    <w:rsid w:val="00A82A39"/>
    <w:rsid w:val="00A82C0E"/>
    <w:rsid w:val="00A82CAD"/>
    <w:rsid w:val="00A82CE7"/>
    <w:rsid w:val="00A82DA6"/>
    <w:rsid w:val="00A82DFA"/>
    <w:rsid w:val="00A830AA"/>
    <w:rsid w:val="00A830AB"/>
    <w:rsid w:val="00A83130"/>
    <w:rsid w:val="00A835ED"/>
    <w:rsid w:val="00A836EC"/>
    <w:rsid w:val="00A83857"/>
    <w:rsid w:val="00A83878"/>
    <w:rsid w:val="00A83A23"/>
    <w:rsid w:val="00A83DD0"/>
    <w:rsid w:val="00A83FF8"/>
    <w:rsid w:val="00A84013"/>
    <w:rsid w:val="00A84020"/>
    <w:rsid w:val="00A8402E"/>
    <w:rsid w:val="00A8424E"/>
    <w:rsid w:val="00A844F4"/>
    <w:rsid w:val="00A844FE"/>
    <w:rsid w:val="00A84569"/>
    <w:rsid w:val="00A845D4"/>
    <w:rsid w:val="00A84678"/>
    <w:rsid w:val="00A846A3"/>
    <w:rsid w:val="00A84A6C"/>
    <w:rsid w:val="00A84AC1"/>
    <w:rsid w:val="00A84B07"/>
    <w:rsid w:val="00A84BAF"/>
    <w:rsid w:val="00A84FDD"/>
    <w:rsid w:val="00A850ED"/>
    <w:rsid w:val="00A8547C"/>
    <w:rsid w:val="00A85633"/>
    <w:rsid w:val="00A856B9"/>
    <w:rsid w:val="00A856F8"/>
    <w:rsid w:val="00A857BE"/>
    <w:rsid w:val="00A859CC"/>
    <w:rsid w:val="00A85AFE"/>
    <w:rsid w:val="00A85B88"/>
    <w:rsid w:val="00A85C15"/>
    <w:rsid w:val="00A85C20"/>
    <w:rsid w:val="00A85CC5"/>
    <w:rsid w:val="00A85D75"/>
    <w:rsid w:val="00A85F4C"/>
    <w:rsid w:val="00A85F8A"/>
    <w:rsid w:val="00A85FBA"/>
    <w:rsid w:val="00A8612B"/>
    <w:rsid w:val="00A8678C"/>
    <w:rsid w:val="00A8687B"/>
    <w:rsid w:val="00A869D6"/>
    <w:rsid w:val="00A86AEA"/>
    <w:rsid w:val="00A86B85"/>
    <w:rsid w:val="00A86C79"/>
    <w:rsid w:val="00A86CF2"/>
    <w:rsid w:val="00A86E48"/>
    <w:rsid w:val="00A86F15"/>
    <w:rsid w:val="00A86FD9"/>
    <w:rsid w:val="00A8726A"/>
    <w:rsid w:val="00A873FC"/>
    <w:rsid w:val="00A87647"/>
    <w:rsid w:val="00A87784"/>
    <w:rsid w:val="00A878C3"/>
    <w:rsid w:val="00A87E39"/>
    <w:rsid w:val="00A900F8"/>
    <w:rsid w:val="00A902A1"/>
    <w:rsid w:val="00A904C3"/>
    <w:rsid w:val="00A90502"/>
    <w:rsid w:val="00A90601"/>
    <w:rsid w:val="00A908FE"/>
    <w:rsid w:val="00A90A59"/>
    <w:rsid w:val="00A90A91"/>
    <w:rsid w:val="00A90AE7"/>
    <w:rsid w:val="00A90CE2"/>
    <w:rsid w:val="00A90DF7"/>
    <w:rsid w:val="00A90FBE"/>
    <w:rsid w:val="00A9137C"/>
    <w:rsid w:val="00A9145D"/>
    <w:rsid w:val="00A915AF"/>
    <w:rsid w:val="00A91755"/>
    <w:rsid w:val="00A91ABF"/>
    <w:rsid w:val="00A91CCA"/>
    <w:rsid w:val="00A91F37"/>
    <w:rsid w:val="00A9221D"/>
    <w:rsid w:val="00A9228A"/>
    <w:rsid w:val="00A9230E"/>
    <w:rsid w:val="00A923CF"/>
    <w:rsid w:val="00A9251B"/>
    <w:rsid w:val="00A92694"/>
    <w:rsid w:val="00A92821"/>
    <w:rsid w:val="00A92A23"/>
    <w:rsid w:val="00A92B92"/>
    <w:rsid w:val="00A92BF1"/>
    <w:rsid w:val="00A92CBA"/>
    <w:rsid w:val="00A92CE5"/>
    <w:rsid w:val="00A92E0D"/>
    <w:rsid w:val="00A92E96"/>
    <w:rsid w:val="00A93382"/>
    <w:rsid w:val="00A933FC"/>
    <w:rsid w:val="00A93401"/>
    <w:rsid w:val="00A93402"/>
    <w:rsid w:val="00A93486"/>
    <w:rsid w:val="00A935BF"/>
    <w:rsid w:val="00A9382F"/>
    <w:rsid w:val="00A939F5"/>
    <w:rsid w:val="00A93EA5"/>
    <w:rsid w:val="00A93FB8"/>
    <w:rsid w:val="00A940A4"/>
    <w:rsid w:val="00A940DD"/>
    <w:rsid w:val="00A941DF"/>
    <w:rsid w:val="00A945C3"/>
    <w:rsid w:val="00A945D4"/>
    <w:rsid w:val="00A94607"/>
    <w:rsid w:val="00A9479F"/>
    <w:rsid w:val="00A94871"/>
    <w:rsid w:val="00A948B1"/>
    <w:rsid w:val="00A948E6"/>
    <w:rsid w:val="00A94981"/>
    <w:rsid w:val="00A94A01"/>
    <w:rsid w:val="00A94DE2"/>
    <w:rsid w:val="00A94F30"/>
    <w:rsid w:val="00A94FCE"/>
    <w:rsid w:val="00A950EA"/>
    <w:rsid w:val="00A954A2"/>
    <w:rsid w:val="00A954E6"/>
    <w:rsid w:val="00A9572B"/>
    <w:rsid w:val="00A95A66"/>
    <w:rsid w:val="00A95C0B"/>
    <w:rsid w:val="00A95CC6"/>
    <w:rsid w:val="00A95FDE"/>
    <w:rsid w:val="00A96058"/>
    <w:rsid w:val="00A9632A"/>
    <w:rsid w:val="00A96374"/>
    <w:rsid w:val="00A9640F"/>
    <w:rsid w:val="00A964CA"/>
    <w:rsid w:val="00A9651B"/>
    <w:rsid w:val="00A96537"/>
    <w:rsid w:val="00A96777"/>
    <w:rsid w:val="00A967A1"/>
    <w:rsid w:val="00A967D9"/>
    <w:rsid w:val="00A968DA"/>
    <w:rsid w:val="00A969FF"/>
    <w:rsid w:val="00A96A61"/>
    <w:rsid w:val="00A96B60"/>
    <w:rsid w:val="00A96CDA"/>
    <w:rsid w:val="00A96D78"/>
    <w:rsid w:val="00A96D80"/>
    <w:rsid w:val="00A96EFC"/>
    <w:rsid w:val="00A96F98"/>
    <w:rsid w:val="00A96FF1"/>
    <w:rsid w:val="00A97160"/>
    <w:rsid w:val="00A97212"/>
    <w:rsid w:val="00A973CD"/>
    <w:rsid w:val="00A97B10"/>
    <w:rsid w:val="00A97C12"/>
    <w:rsid w:val="00A97CAB"/>
    <w:rsid w:val="00AA0076"/>
    <w:rsid w:val="00AA0125"/>
    <w:rsid w:val="00AA05E1"/>
    <w:rsid w:val="00AA06A9"/>
    <w:rsid w:val="00AA08D2"/>
    <w:rsid w:val="00AA09BC"/>
    <w:rsid w:val="00AA0B9F"/>
    <w:rsid w:val="00AA0C59"/>
    <w:rsid w:val="00AA0E7E"/>
    <w:rsid w:val="00AA101C"/>
    <w:rsid w:val="00AA12BF"/>
    <w:rsid w:val="00AA1601"/>
    <w:rsid w:val="00AA1876"/>
    <w:rsid w:val="00AA18F6"/>
    <w:rsid w:val="00AA199A"/>
    <w:rsid w:val="00AA1C27"/>
    <w:rsid w:val="00AA1E3A"/>
    <w:rsid w:val="00AA2063"/>
    <w:rsid w:val="00AA240D"/>
    <w:rsid w:val="00AA2423"/>
    <w:rsid w:val="00AA260E"/>
    <w:rsid w:val="00AA280E"/>
    <w:rsid w:val="00AA29AE"/>
    <w:rsid w:val="00AA2B1B"/>
    <w:rsid w:val="00AA2E7C"/>
    <w:rsid w:val="00AA2EEF"/>
    <w:rsid w:val="00AA2F59"/>
    <w:rsid w:val="00AA2F8C"/>
    <w:rsid w:val="00AA3260"/>
    <w:rsid w:val="00AA3274"/>
    <w:rsid w:val="00AA3320"/>
    <w:rsid w:val="00AA3A5A"/>
    <w:rsid w:val="00AA3AAF"/>
    <w:rsid w:val="00AA3B77"/>
    <w:rsid w:val="00AA3C3A"/>
    <w:rsid w:val="00AA3DA7"/>
    <w:rsid w:val="00AA3E6A"/>
    <w:rsid w:val="00AA3F10"/>
    <w:rsid w:val="00AA3FA6"/>
    <w:rsid w:val="00AA40A5"/>
    <w:rsid w:val="00AA4188"/>
    <w:rsid w:val="00AA4350"/>
    <w:rsid w:val="00AA45C8"/>
    <w:rsid w:val="00AA4661"/>
    <w:rsid w:val="00AA47CC"/>
    <w:rsid w:val="00AA481B"/>
    <w:rsid w:val="00AA4820"/>
    <w:rsid w:val="00AA48D3"/>
    <w:rsid w:val="00AA4A1C"/>
    <w:rsid w:val="00AA4A5B"/>
    <w:rsid w:val="00AA4D9F"/>
    <w:rsid w:val="00AA4E54"/>
    <w:rsid w:val="00AA4EEA"/>
    <w:rsid w:val="00AA51A6"/>
    <w:rsid w:val="00AA5332"/>
    <w:rsid w:val="00AA547F"/>
    <w:rsid w:val="00AA54C7"/>
    <w:rsid w:val="00AA55DD"/>
    <w:rsid w:val="00AA56AD"/>
    <w:rsid w:val="00AA5784"/>
    <w:rsid w:val="00AA5895"/>
    <w:rsid w:val="00AA5CED"/>
    <w:rsid w:val="00AA6027"/>
    <w:rsid w:val="00AA60D6"/>
    <w:rsid w:val="00AA62F4"/>
    <w:rsid w:val="00AA6502"/>
    <w:rsid w:val="00AA651C"/>
    <w:rsid w:val="00AA6574"/>
    <w:rsid w:val="00AA68F5"/>
    <w:rsid w:val="00AA6C82"/>
    <w:rsid w:val="00AA6D5F"/>
    <w:rsid w:val="00AA6E9D"/>
    <w:rsid w:val="00AA722C"/>
    <w:rsid w:val="00AA7699"/>
    <w:rsid w:val="00AA7802"/>
    <w:rsid w:val="00AA7B53"/>
    <w:rsid w:val="00AA7D9F"/>
    <w:rsid w:val="00AA7DD2"/>
    <w:rsid w:val="00AA7F37"/>
    <w:rsid w:val="00AA7FE7"/>
    <w:rsid w:val="00AB001F"/>
    <w:rsid w:val="00AB0299"/>
    <w:rsid w:val="00AB054D"/>
    <w:rsid w:val="00AB05C2"/>
    <w:rsid w:val="00AB07CF"/>
    <w:rsid w:val="00AB08CA"/>
    <w:rsid w:val="00AB09BD"/>
    <w:rsid w:val="00AB0BA1"/>
    <w:rsid w:val="00AB0BC8"/>
    <w:rsid w:val="00AB0C43"/>
    <w:rsid w:val="00AB0EFA"/>
    <w:rsid w:val="00AB0FAC"/>
    <w:rsid w:val="00AB19A7"/>
    <w:rsid w:val="00AB1B6E"/>
    <w:rsid w:val="00AB1B71"/>
    <w:rsid w:val="00AB1CB4"/>
    <w:rsid w:val="00AB1CB9"/>
    <w:rsid w:val="00AB1CD8"/>
    <w:rsid w:val="00AB1DCA"/>
    <w:rsid w:val="00AB1E38"/>
    <w:rsid w:val="00AB205C"/>
    <w:rsid w:val="00AB2086"/>
    <w:rsid w:val="00AB20FE"/>
    <w:rsid w:val="00AB2193"/>
    <w:rsid w:val="00AB2389"/>
    <w:rsid w:val="00AB24C3"/>
    <w:rsid w:val="00AB25DA"/>
    <w:rsid w:val="00AB2658"/>
    <w:rsid w:val="00AB269D"/>
    <w:rsid w:val="00AB274E"/>
    <w:rsid w:val="00AB2798"/>
    <w:rsid w:val="00AB2FD5"/>
    <w:rsid w:val="00AB3009"/>
    <w:rsid w:val="00AB32AD"/>
    <w:rsid w:val="00AB3384"/>
    <w:rsid w:val="00AB368E"/>
    <w:rsid w:val="00AB3824"/>
    <w:rsid w:val="00AB3866"/>
    <w:rsid w:val="00AB3888"/>
    <w:rsid w:val="00AB3BCC"/>
    <w:rsid w:val="00AB3C22"/>
    <w:rsid w:val="00AB3D75"/>
    <w:rsid w:val="00AB3E23"/>
    <w:rsid w:val="00AB3FB7"/>
    <w:rsid w:val="00AB40E4"/>
    <w:rsid w:val="00AB4351"/>
    <w:rsid w:val="00AB4415"/>
    <w:rsid w:val="00AB4908"/>
    <w:rsid w:val="00AB4D2E"/>
    <w:rsid w:val="00AB4EE1"/>
    <w:rsid w:val="00AB5052"/>
    <w:rsid w:val="00AB50CA"/>
    <w:rsid w:val="00AB5170"/>
    <w:rsid w:val="00AB537C"/>
    <w:rsid w:val="00AB56AD"/>
    <w:rsid w:val="00AB594F"/>
    <w:rsid w:val="00AB59EF"/>
    <w:rsid w:val="00AB5BAA"/>
    <w:rsid w:val="00AB5C79"/>
    <w:rsid w:val="00AB5DC3"/>
    <w:rsid w:val="00AB5EA9"/>
    <w:rsid w:val="00AB60A6"/>
    <w:rsid w:val="00AB61AF"/>
    <w:rsid w:val="00AB61E3"/>
    <w:rsid w:val="00AB6211"/>
    <w:rsid w:val="00AB6254"/>
    <w:rsid w:val="00AB6324"/>
    <w:rsid w:val="00AB6813"/>
    <w:rsid w:val="00AB6905"/>
    <w:rsid w:val="00AB6988"/>
    <w:rsid w:val="00AB6AB6"/>
    <w:rsid w:val="00AB6D20"/>
    <w:rsid w:val="00AB6E76"/>
    <w:rsid w:val="00AB6F95"/>
    <w:rsid w:val="00AB7139"/>
    <w:rsid w:val="00AB715D"/>
    <w:rsid w:val="00AB729B"/>
    <w:rsid w:val="00AB729E"/>
    <w:rsid w:val="00AB72B4"/>
    <w:rsid w:val="00AB72DB"/>
    <w:rsid w:val="00AB7422"/>
    <w:rsid w:val="00AB7441"/>
    <w:rsid w:val="00AB750C"/>
    <w:rsid w:val="00AB78E5"/>
    <w:rsid w:val="00AB7951"/>
    <w:rsid w:val="00AB7EB4"/>
    <w:rsid w:val="00AC00E1"/>
    <w:rsid w:val="00AC00EA"/>
    <w:rsid w:val="00AC0141"/>
    <w:rsid w:val="00AC01F4"/>
    <w:rsid w:val="00AC057A"/>
    <w:rsid w:val="00AC0780"/>
    <w:rsid w:val="00AC0944"/>
    <w:rsid w:val="00AC0A98"/>
    <w:rsid w:val="00AC0B51"/>
    <w:rsid w:val="00AC0B55"/>
    <w:rsid w:val="00AC0D05"/>
    <w:rsid w:val="00AC0F5E"/>
    <w:rsid w:val="00AC11A8"/>
    <w:rsid w:val="00AC11D3"/>
    <w:rsid w:val="00AC12C2"/>
    <w:rsid w:val="00AC163C"/>
    <w:rsid w:val="00AC1677"/>
    <w:rsid w:val="00AC16DF"/>
    <w:rsid w:val="00AC186D"/>
    <w:rsid w:val="00AC1BA5"/>
    <w:rsid w:val="00AC2114"/>
    <w:rsid w:val="00AC212D"/>
    <w:rsid w:val="00AC22EB"/>
    <w:rsid w:val="00AC2553"/>
    <w:rsid w:val="00AC26DD"/>
    <w:rsid w:val="00AC2719"/>
    <w:rsid w:val="00AC29B4"/>
    <w:rsid w:val="00AC2A67"/>
    <w:rsid w:val="00AC2C05"/>
    <w:rsid w:val="00AC2C3A"/>
    <w:rsid w:val="00AC2D1E"/>
    <w:rsid w:val="00AC2DAE"/>
    <w:rsid w:val="00AC2E74"/>
    <w:rsid w:val="00AC3196"/>
    <w:rsid w:val="00AC3493"/>
    <w:rsid w:val="00AC3580"/>
    <w:rsid w:val="00AC35D8"/>
    <w:rsid w:val="00AC39CD"/>
    <w:rsid w:val="00AC3AF9"/>
    <w:rsid w:val="00AC3C1C"/>
    <w:rsid w:val="00AC3F7C"/>
    <w:rsid w:val="00AC3FF7"/>
    <w:rsid w:val="00AC4065"/>
    <w:rsid w:val="00AC4299"/>
    <w:rsid w:val="00AC42B1"/>
    <w:rsid w:val="00AC432F"/>
    <w:rsid w:val="00AC443E"/>
    <w:rsid w:val="00AC45A2"/>
    <w:rsid w:val="00AC4A96"/>
    <w:rsid w:val="00AC4D99"/>
    <w:rsid w:val="00AC4E13"/>
    <w:rsid w:val="00AC51E7"/>
    <w:rsid w:val="00AC5258"/>
    <w:rsid w:val="00AC5474"/>
    <w:rsid w:val="00AC54A2"/>
    <w:rsid w:val="00AC564B"/>
    <w:rsid w:val="00AC59FD"/>
    <w:rsid w:val="00AC5B1E"/>
    <w:rsid w:val="00AC5C39"/>
    <w:rsid w:val="00AC5C5C"/>
    <w:rsid w:val="00AC5C7B"/>
    <w:rsid w:val="00AC5DD7"/>
    <w:rsid w:val="00AC5DFB"/>
    <w:rsid w:val="00AC5EE6"/>
    <w:rsid w:val="00AC5FC8"/>
    <w:rsid w:val="00AC6045"/>
    <w:rsid w:val="00AC608E"/>
    <w:rsid w:val="00AC6315"/>
    <w:rsid w:val="00AC63C4"/>
    <w:rsid w:val="00AC6400"/>
    <w:rsid w:val="00AC64AB"/>
    <w:rsid w:val="00AC6768"/>
    <w:rsid w:val="00AC70B8"/>
    <w:rsid w:val="00AC7167"/>
    <w:rsid w:val="00AC72B6"/>
    <w:rsid w:val="00AC73A3"/>
    <w:rsid w:val="00AC73A8"/>
    <w:rsid w:val="00AC75E2"/>
    <w:rsid w:val="00AC79E2"/>
    <w:rsid w:val="00AC7B47"/>
    <w:rsid w:val="00AC7C36"/>
    <w:rsid w:val="00AC7E1D"/>
    <w:rsid w:val="00AC7E39"/>
    <w:rsid w:val="00AD017E"/>
    <w:rsid w:val="00AD0826"/>
    <w:rsid w:val="00AD0A60"/>
    <w:rsid w:val="00AD0B78"/>
    <w:rsid w:val="00AD0C28"/>
    <w:rsid w:val="00AD0E41"/>
    <w:rsid w:val="00AD0EF4"/>
    <w:rsid w:val="00AD1491"/>
    <w:rsid w:val="00AD1507"/>
    <w:rsid w:val="00AD1655"/>
    <w:rsid w:val="00AD177E"/>
    <w:rsid w:val="00AD1A9B"/>
    <w:rsid w:val="00AD1DCB"/>
    <w:rsid w:val="00AD1E4A"/>
    <w:rsid w:val="00AD1F1C"/>
    <w:rsid w:val="00AD1F3D"/>
    <w:rsid w:val="00AD21B9"/>
    <w:rsid w:val="00AD2273"/>
    <w:rsid w:val="00AD22B0"/>
    <w:rsid w:val="00AD2388"/>
    <w:rsid w:val="00AD24AD"/>
    <w:rsid w:val="00AD27BD"/>
    <w:rsid w:val="00AD299A"/>
    <w:rsid w:val="00AD2C41"/>
    <w:rsid w:val="00AD2C54"/>
    <w:rsid w:val="00AD2CE7"/>
    <w:rsid w:val="00AD2DD2"/>
    <w:rsid w:val="00AD2FAC"/>
    <w:rsid w:val="00AD31BB"/>
    <w:rsid w:val="00AD34CE"/>
    <w:rsid w:val="00AD350E"/>
    <w:rsid w:val="00AD355A"/>
    <w:rsid w:val="00AD38D2"/>
    <w:rsid w:val="00AD39B8"/>
    <w:rsid w:val="00AD404D"/>
    <w:rsid w:val="00AD4115"/>
    <w:rsid w:val="00AD41DD"/>
    <w:rsid w:val="00AD46AD"/>
    <w:rsid w:val="00AD46FF"/>
    <w:rsid w:val="00AD486E"/>
    <w:rsid w:val="00AD4881"/>
    <w:rsid w:val="00AD48B4"/>
    <w:rsid w:val="00AD4BC9"/>
    <w:rsid w:val="00AD508A"/>
    <w:rsid w:val="00AD52C2"/>
    <w:rsid w:val="00AD5683"/>
    <w:rsid w:val="00AD5976"/>
    <w:rsid w:val="00AD59E9"/>
    <w:rsid w:val="00AD5EF1"/>
    <w:rsid w:val="00AD60B2"/>
    <w:rsid w:val="00AD60D3"/>
    <w:rsid w:val="00AD6337"/>
    <w:rsid w:val="00AD6474"/>
    <w:rsid w:val="00AD64DB"/>
    <w:rsid w:val="00AD6759"/>
    <w:rsid w:val="00AD68C4"/>
    <w:rsid w:val="00AD6BF8"/>
    <w:rsid w:val="00AD6C5E"/>
    <w:rsid w:val="00AD6D55"/>
    <w:rsid w:val="00AD6D89"/>
    <w:rsid w:val="00AD6F1F"/>
    <w:rsid w:val="00AD716B"/>
    <w:rsid w:val="00AD74F0"/>
    <w:rsid w:val="00AD7511"/>
    <w:rsid w:val="00AD75BC"/>
    <w:rsid w:val="00AD780D"/>
    <w:rsid w:val="00AD7840"/>
    <w:rsid w:val="00AD7CA3"/>
    <w:rsid w:val="00AE01D5"/>
    <w:rsid w:val="00AE020F"/>
    <w:rsid w:val="00AE0214"/>
    <w:rsid w:val="00AE04D3"/>
    <w:rsid w:val="00AE05B4"/>
    <w:rsid w:val="00AE060D"/>
    <w:rsid w:val="00AE0631"/>
    <w:rsid w:val="00AE06A3"/>
    <w:rsid w:val="00AE0747"/>
    <w:rsid w:val="00AE0787"/>
    <w:rsid w:val="00AE08D4"/>
    <w:rsid w:val="00AE09E6"/>
    <w:rsid w:val="00AE0BF9"/>
    <w:rsid w:val="00AE0C0A"/>
    <w:rsid w:val="00AE0C27"/>
    <w:rsid w:val="00AE0C63"/>
    <w:rsid w:val="00AE0E37"/>
    <w:rsid w:val="00AE1098"/>
    <w:rsid w:val="00AE1147"/>
    <w:rsid w:val="00AE1183"/>
    <w:rsid w:val="00AE1419"/>
    <w:rsid w:val="00AE15C8"/>
    <w:rsid w:val="00AE1766"/>
    <w:rsid w:val="00AE18D0"/>
    <w:rsid w:val="00AE18E2"/>
    <w:rsid w:val="00AE19BB"/>
    <w:rsid w:val="00AE1A56"/>
    <w:rsid w:val="00AE1BF5"/>
    <w:rsid w:val="00AE1D3D"/>
    <w:rsid w:val="00AE2272"/>
    <w:rsid w:val="00AE237B"/>
    <w:rsid w:val="00AE237D"/>
    <w:rsid w:val="00AE25B8"/>
    <w:rsid w:val="00AE2734"/>
    <w:rsid w:val="00AE2735"/>
    <w:rsid w:val="00AE2AF5"/>
    <w:rsid w:val="00AE2CB7"/>
    <w:rsid w:val="00AE2CE1"/>
    <w:rsid w:val="00AE2F8A"/>
    <w:rsid w:val="00AE2F90"/>
    <w:rsid w:val="00AE301B"/>
    <w:rsid w:val="00AE31E8"/>
    <w:rsid w:val="00AE31FA"/>
    <w:rsid w:val="00AE32E0"/>
    <w:rsid w:val="00AE32E4"/>
    <w:rsid w:val="00AE349D"/>
    <w:rsid w:val="00AE34BE"/>
    <w:rsid w:val="00AE3708"/>
    <w:rsid w:val="00AE38B8"/>
    <w:rsid w:val="00AE390E"/>
    <w:rsid w:val="00AE3A5C"/>
    <w:rsid w:val="00AE3ADD"/>
    <w:rsid w:val="00AE3AFF"/>
    <w:rsid w:val="00AE3C9F"/>
    <w:rsid w:val="00AE3CAD"/>
    <w:rsid w:val="00AE402E"/>
    <w:rsid w:val="00AE4052"/>
    <w:rsid w:val="00AE407A"/>
    <w:rsid w:val="00AE436B"/>
    <w:rsid w:val="00AE4569"/>
    <w:rsid w:val="00AE45F0"/>
    <w:rsid w:val="00AE461D"/>
    <w:rsid w:val="00AE469F"/>
    <w:rsid w:val="00AE48A1"/>
    <w:rsid w:val="00AE49BC"/>
    <w:rsid w:val="00AE4EFC"/>
    <w:rsid w:val="00AE4F62"/>
    <w:rsid w:val="00AE51EC"/>
    <w:rsid w:val="00AE5607"/>
    <w:rsid w:val="00AE589A"/>
    <w:rsid w:val="00AE5922"/>
    <w:rsid w:val="00AE59DB"/>
    <w:rsid w:val="00AE5D2D"/>
    <w:rsid w:val="00AE5D7B"/>
    <w:rsid w:val="00AE61A9"/>
    <w:rsid w:val="00AE622B"/>
    <w:rsid w:val="00AE6583"/>
    <w:rsid w:val="00AE65D8"/>
    <w:rsid w:val="00AE66AF"/>
    <w:rsid w:val="00AE6884"/>
    <w:rsid w:val="00AE6887"/>
    <w:rsid w:val="00AE68BD"/>
    <w:rsid w:val="00AE6A23"/>
    <w:rsid w:val="00AE6A7C"/>
    <w:rsid w:val="00AE6ABA"/>
    <w:rsid w:val="00AE6B4A"/>
    <w:rsid w:val="00AE6B9D"/>
    <w:rsid w:val="00AE6E23"/>
    <w:rsid w:val="00AE6F04"/>
    <w:rsid w:val="00AE7099"/>
    <w:rsid w:val="00AE71A4"/>
    <w:rsid w:val="00AE71ED"/>
    <w:rsid w:val="00AE7671"/>
    <w:rsid w:val="00AE76B3"/>
    <w:rsid w:val="00AE791F"/>
    <w:rsid w:val="00AE79B1"/>
    <w:rsid w:val="00AE7A7F"/>
    <w:rsid w:val="00AE7EF0"/>
    <w:rsid w:val="00AF00E7"/>
    <w:rsid w:val="00AF01B6"/>
    <w:rsid w:val="00AF0227"/>
    <w:rsid w:val="00AF02F6"/>
    <w:rsid w:val="00AF0456"/>
    <w:rsid w:val="00AF049D"/>
    <w:rsid w:val="00AF05F2"/>
    <w:rsid w:val="00AF0CF1"/>
    <w:rsid w:val="00AF1087"/>
    <w:rsid w:val="00AF11EF"/>
    <w:rsid w:val="00AF12E7"/>
    <w:rsid w:val="00AF1413"/>
    <w:rsid w:val="00AF14D5"/>
    <w:rsid w:val="00AF1544"/>
    <w:rsid w:val="00AF1658"/>
    <w:rsid w:val="00AF19D9"/>
    <w:rsid w:val="00AF19E2"/>
    <w:rsid w:val="00AF19EE"/>
    <w:rsid w:val="00AF1C6A"/>
    <w:rsid w:val="00AF1D4B"/>
    <w:rsid w:val="00AF1D84"/>
    <w:rsid w:val="00AF1EA7"/>
    <w:rsid w:val="00AF204D"/>
    <w:rsid w:val="00AF20EF"/>
    <w:rsid w:val="00AF24F4"/>
    <w:rsid w:val="00AF2534"/>
    <w:rsid w:val="00AF259A"/>
    <w:rsid w:val="00AF2633"/>
    <w:rsid w:val="00AF2732"/>
    <w:rsid w:val="00AF273B"/>
    <w:rsid w:val="00AF274D"/>
    <w:rsid w:val="00AF2CC6"/>
    <w:rsid w:val="00AF2D12"/>
    <w:rsid w:val="00AF2F6F"/>
    <w:rsid w:val="00AF311D"/>
    <w:rsid w:val="00AF3170"/>
    <w:rsid w:val="00AF31B7"/>
    <w:rsid w:val="00AF33B6"/>
    <w:rsid w:val="00AF3428"/>
    <w:rsid w:val="00AF34FE"/>
    <w:rsid w:val="00AF353D"/>
    <w:rsid w:val="00AF358C"/>
    <w:rsid w:val="00AF376D"/>
    <w:rsid w:val="00AF377A"/>
    <w:rsid w:val="00AF383E"/>
    <w:rsid w:val="00AF3862"/>
    <w:rsid w:val="00AF3886"/>
    <w:rsid w:val="00AF3972"/>
    <w:rsid w:val="00AF3CC3"/>
    <w:rsid w:val="00AF3ECD"/>
    <w:rsid w:val="00AF41A4"/>
    <w:rsid w:val="00AF42D4"/>
    <w:rsid w:val="00AF43BD"/>
    <w:rsid w:val="00AF4967"/>
    <w:rsid w:val="00AF4A4C"/>
    <w:rsid w:val="00AF4B64"/>
    <w:rsid w:val="00AF4E78"/>
    <w:rsid w:val="00AF4F83"/>
    <w:rsid w:val="00AF51AF"/>
    <w:rsid w:val="00AF521A"/>
    <w:rsid w:val="00AF525A"/>
    <w:rsid w:val="00AF5327"/>
    <w:rsid w:val="00AF5608"/>
    <w:rsid w:val="00AF5711"/>
    <w:rsid w:val="00AF588E"/>
    <w:rsid w:val="00AF5BA2"/>
    <w:rsid w:val="00AF5CB7"/>
    <w:rsid w:val="00AF5CCF"/>
    <w:rsid w:val="00AF5CD0"/>
    <w:rsid w:val="00AF5ED8"/>
    <w:rsid w:val="00AF5F2B"/>
    <w:rsid w:val="00AF5FCB"/>
    <w:rsid w:val="00AF61F2"/>
    <w:rsid w:val="00AF61F8"/>
    <w:rsid w:val="00AF6378"/>
    <w:rsid w:val="00AF63CB"/>
    <w:rsid w:val="00AF6745"/>
    <w:rsid w:val="00AF6797"/>
    <w:rsid w:val="00AF688B"/>
    <w:rsid w:val="00AF6891"/>
    <w:rsid w:val="00AF68E4"/>
    <w:rsid w:val="00AF6C4B"/>
    <w:rsid w:val="00AF6C82"/>
    <w:rsid w:val="00AF6DDC"/>
    <w:rsid w:val="00AF6EB4"/>
    <w:rsid w:val="00AF6F0C"/>
    <w:rsid w:val="00AF6F5D"/>
    <w:rsid w:val="00AF6FED"/>
    <w:rsid w:val="00AF726A"/>
    <w:rsid w:val="00AF727B"/>
    <w:rsid w:val="00AF72C8"/>
    <w:rsid w:val="00AF7450"/>
    <w:rsid w:val="00AF760B"/>
    <w:rsid w:val="00AF76DD"/>
    <w:rsid w:val="00AF77F1"/>
    <w:rsid w:val="00AF7826"/>
    <w:rsid w:val="00AF7A84"/>
    <w:rsid w:val="00AF7B32"/>
    <w:rsid w:val="00AF7BBA"/>
    <w:rsid w:val="00AF7BFA"/>
    <w:rsid w:val="00AF7ED2"/>
    <w:rsid w:val="00AF7F99"/>
    <w:rsid w:val="00B0030E"/>
    <w:rsid w:val="00B003FE"/>
    <w:rsid w:val="00B00450"/>
    <w:rsid w:val="00B005AC"/>
    <w:rsid w:val="00B00A40"/>
    <w:rsid w:val="00B00C90"/>
    <w:rsid w:val="00B00CFF"/>
    <w:rsid w:val="00B00F2E"/>
    <w:rsid w:val="00B011DC"/>
    <w:rsid w:val="00B01297"/>
    <w:rsid w:val="00B013FD"/>
    <w:rsid w:val="00B01533"/>
    <w:rsid w:val="00B01569"/>
    <w:rsid w:val="00B015F9"/>
    <w:rsid w:val="00B01CDC"/>
    <w:rsid w:val="00B01DEC"/>
    <w:rsid w:val="00B01FE6"/>
    <w:rsid w:val="00B0206C"/>
    <w:rsid w:val="00B02171"/>
    <w:rsid w:val="00B0225B"/>
    <w:rsid w:val="00B02330"/>
    <w:rsid w:val="00B023D8"/>
    <w:rsid w:val="00B02477"/>
    <w:rsid w:val="00B02806"/>
    <w:rsid w:val="00B028AB"/>
    <w:rsid w:val="00B02999"/>
    <w:rsid w:val="00B02A34"/>
    <w:rsid w:val="00B02CAD"/>
    <w:rsid w:val="00B03117"/>
    <w:rsid w:val="00B03257"/>
    <w:rsid w:val="00B03298"/>
    <w:rsid w:val="00B03311"/>
    <w:rsid w:val="00B03315"/>
    <w:rsid w:val="00B03453"/>
    <w:rsid w:val="00B035A4"/>
    <w:rsid w:val="00B035EF"/>
    <w:rsid w:val="00B0385F"/>
    <w:rsid w:val="00B03AF7"/>
    <w:rsid w:val="00B03BBC"/>
    <w:rsid w:val="00B03C04"/>
    <w:rsid w:val="00B03C21"/>
    <w:rsid w:val="00B03DD6"/>
    <w:rsid w:val="00B03E28"/>
    <w:rsid w:val="00B03F82"/>
    <w:rsid w:val="00B041B3"/>
    <w:rsid w:val="00B04589"/>
    <w:rsid w:val="00B046AF"/>
    <w:rsid w:val="00B046EA"/>
    <w:rsid w:val="00B04C44"/>
    <w:rsid w:val="00B04ECA"/>
    <w:rsid w:val="00B05185"/>
    <w:rsid w:val="00B05358"/>
    <w:rsid w:val="00B0541C"/>
    <w:rsid w:val="00B056C2"/>
    <w:rsid w:val="00B0575D"/>
    <w:rsid w:val="00B059AF"/>
    <w:rsid w:val="00B059B9"/>
    <w:rsid w:val="00B059E2"/>
    <w:rsid w:val="00B05AD8"/>
    <w:rsid w:val="00B05DC6"/>
    <w:rsid w:val="00B05E0E"/>
    <w:rsid w:val="00B05EB3"/>
    <w:rsid w:val="00B06092"/>
    <w:rsid w:val="00B060BE"/>
    <w:rsid w:val="00B062A4"/>
    <w:rsid w:val="00B062DC"/>
    <w:rsid w:val="00B0656F"/>
    <w:rsid w:val="00B065DF"/>
    <w:rsid w:val="00B06B46"/>
    <w:rsid w:val="00B06F30"/>
    <w:rsid w:val="00B0717F"/>
    <w:rsid w:val="00B078D1"/>
    <w:rsid w:val="00B078E6"/>
    <w:rsid w:val="00B079A8"/>
    <w:rsid w:val="00B07A12"/>
    <w:rsid w:val="00B07A87"/>
    <w:rsid w:val="00B07BC9"/>
    <w:rsid w:val="00B07D62"/>
    <w:rsid w:val="00B07D75"/>
    <w:rsid w:val="00B07E92"/>
    <w:rsid w:val="00B10035"/>
    <w:rsid w:val="00B10106"/>
    <w:rsid w:val="00B10118"/>
    <w:rsid w:val="00B1014D"/>
    <w:rsid w:val="00B103FF"/>
    <w:rsid w:val="00B104FC"/>
    <w:rsid w:val="00B104FD"/>
    <w:rsid w:val="00B109FA"/>
    <w:rsid w:val="00B10AE6"/>
    <w:rsid w:val="00B10C74"/>
    <w:rsid w:val="00B10DBD"/>
    <w:rsid w:val="00B10E65"/>
    <w:rsid w:val="00B1107F"/>
    <w:rsid w:val="00B11147"/>
    <w:rsid w:val="00B1114C"/>
    <w:rsid w:val="00B111EC"/>
    <w:rsid w:val="00B1127C"/>
    <w:rsid w:val="00B116ED"/>
    <w:rsid w:val="00B117B7"/>
    <w:rsid w:val="00B119D1"/>
    <w:rsid w:val="00B11B82"/>
    <w:rsid w:val="00B11CA5"/>
    <w:rsid w:val="00B11DEF"/>
    <w:rsid w:val="00B11E5A"/>
    <w:rsid w:val="00B11ECB"/>
    <w:rsid w:val="00B1202E"/>
    <w:rsid w:val="00B124B7"/>
    <w:rsid w:val="00B1286F"/>
    <w:rsid w:val="00B128BC"/>
    <w:rsid w:val="00B12C0C"/>
    <w:rsid w:val="00B12CD9"/>
    <w:rsid w:val="00B12DCB"/>
    <w:rsid w:val="00B12F33"/>
    <w:rsid w:val="00B12F37"/>
    <w:rsid w:val="00B131D3"/>
    <w:rsid w:val="00B13311"/>
    <w:rsid w:val="00B13370"/>
    <w:rsid w:val="00B13508"/>
    <w:rsid w:val="00B135A3"/>
    <w:rsid w:val="00B13638"/>
    <w:rsid w:val="00B136B9"/>
    <w:rsid w:val="00B137EA"/>
    <w:rsid w:val="00B13854"/>
    <w:rsid w:val="00B13858"/>
    <w:rsid w:val="00B13885"/>
    <w:rsid w:val="00B139DE"/>
    <w:rsid w:val="00B13B75"/>
    <w:rsid w:val="00B1425C"/>
    <w:rsid w:val="00B1452E"/>
    <w:rsid w:val="00B14664"/>
    <w:rsid w:val="00B1470E"/>
    <w:rsid w:val="00B1473C"/>
    <w:rsid w:val="00B14BFB"/>
    <w:rsid w:val="00B14DD8"/>
    <w:rsid w:val="00B151D8"/>
    <w:rsid w:val="00B15490"/>
    <w:rsid w:val="00B1568E"/>
    <w:rsid w:val="00B15808"/>
    <w:rsid w:val="00B15911"/>
    <w:rsid w:val="00B159ED"/>
    <w:rsid w:val="00B15A34"/>
    <w:rsid w:val="00B15BAD"/>
    <w:rsid w:val="00B15BB4"/>
    <w:rsid w:val="00B15BCE"/>
    <w:rsid w:val="00B15E08"/>
    <w:rsid w:val="00B16045"/>
    <w:rsid w:val="00B16160"/>
    <w:rsid w:val="00B1633A"/>
    <w:rsid w:val="00B164DC"/>
    <w:rsid w:val="00B16558"/>
    <w:rsid w:val="00B16A64"/>
    <w:rsid w:val="00B16AE3"/>
    <w:rsid w:val="00B16B1B"/>
    <w:rsid w:val="00B16B1F"/>
    <w:rsid w:val="00B16B6B"/>
    <w:rsid w:val="00B16C54"/>
    <w:rsid w:val="00B16CE1"/>
    <w:rsid w:val="00B16E0D"/>
    <w:rsid w:val="00B16FDA"/>
    <w:rsid w:val="00B171A2"/>
    <w:rsid w:val="00B173B4"/>
    <w:rsid w:val="00B173FA"/>
    <w:rsid w:val="00B1753B"/>
    <w:rsid w:val="00B1777E"/>
    <w:rsid w:val="00B179D8"/>
    <w:rsid w:val="00B17A28"/>
    <w:rsid w:val="00B17E09"/>
    <w:rsid w:val="00B201C0"/>
    <w:rsid w:val="00B20424"/>
    <w:rsid w:val="00B2043C"/>
    <w:rsid w:val="00B204F5"/>
    <w:rsid w:val="00B20650"/>
    <w:rsid w:val="00B209A9"/>
    <w:rsid w:val="00B20A92"/>
    <w:rsid w:val="00B20AA5"/>
    <w:rsid w:val="00B20C7D"/>
    <w:rsid w:val="00B20D6E"/>
    <w:rsid w:val="00B20E80"/>
    <w:rsid w:val="00B210AF"/>
    <w:rsid w:val="00B213B0"/>
    <w:rsid w:val="00B21402"/>
    <w:rsid w:val="00B214C6"/>
    <w:rsid w:val="00B2164B"/>
    <w:rsid w:val="00B217BC"/>
    <w:rsid w:val="00B217E2"/>
    <w:rsid w:val="00B21A25"/>
    <w:rsid w:val="00B21A7E"/>
    <w:rsid w:val="00B21B06"/>
    <w:rsid w:val="00B21C3B"/>
    <w:rsid w:val="00B21D72"/>
    <w:rsid w:val="00B21DA8"/>
    <w:rsid w:val="00B21E6C"/>
    <w:rsid w:val="00B220C6"/>
    <w:rsid w:val="00B220DA"/>
    <w:rsid w:val="00B221E6"/>
    <w:rsid w:val="00B2236F"/>
    <w:rsid w:val="00B2244F"/>
    <w:rsid w:val="00B225B1"/>
    <w:rsid w:val="00B22717"/>
    <w:rsid w:val="00B22C9B"/>
    <w:rsid w:val="00B22D9E"/>
    <w:rsid w:val="00B22DC3"/>
    <w:rsid w:val="00B22F1B"/>
    <w:rsid w:val="00B2309A"/>
    <w:rsid w:val="00B231D1"/>
    <w:rsid w:val="00B2354F"/>
    <w:rsid w:val="00B236CB"/>
    <w:rsid w:val="00B23779"/>
    <w:rsid w:val="00B23788"/>
    <w:rsid w:val="00B23804"/>
    <w:rsid w:val="00B23A49"/>
    <w:rsid w:val="00B23B16"/>
    <w:rsid w:val="00B23B4B"/>
    <w:rsid w:val="00B23BE2"/>
    <w:rsid w:val="00B242F4"/>
    <w:rsid w:val="00B24354"/>
    <w:rsid w:val="00B243D5"/>
    <w:rsid w:val="00B24916"/>
    <w:rsid w:val="00B24994"/>
    <w:rsid w:val="00B24B4E"/>
    <w:rsid w:val="00B24B5A"/>
    <w:rsid w:val="00B24F68"/>
    <w:rsid w:val="00B24FE3"/>
    <w:rsid w:val="00B2519E"/>
    <w:rsid w:val="00B255FA"/>
    <w:rsid w:val="00B255FF"/>
    <w:rsid w:val="00B256A1"/>
    <w:rsid w:val="00B2583B"/>
    <w:rsid w:val="00B25842"/>
    <w:rsid w:val="00B25EEF"/>
    <w:rsid w:val="00B2616B"/>
    <w:rsid w:val="00B2635D"/>
    <w:rsid w:val="00B264C9"/>
    <w:rsid w:val="00B264DA"/>
    <w:rsid w:val="00B26661"/>
    <w:rsid w:val="00B267E2"/>
    <w:rsid w:val="00B2688B"/>
    <w:rsid w:val="00B26907"/>
    <w:rsid w:val="00B26BD9"/>
    <w:rsid w:val="00B26D6A"/>
    <w:rsid w:val="00B26EC1"/>
    <w:rsid w:val="00B26ED3"/>
    <w:rsid w:val="00B26F41"/>
    <w:rsid w:val="00B27305"/>
    <w:rsid w:val="00B27440"/>
    <w:rsid w:val="00B274E5"/>
    <w:rsid w:val="00B275E6"/>
    <w:rsid w:val="00B27645"/>
    <w:rsid w:val="00B27809"/>
    <w:rsid w:val="00B27A29"/>
    <w:rsid w:val="00B27C0D"/>
    <w:rsid w:val="00B27DA3"/>
    <w:rsid w:val="00B302F9"/>
    <w:rsid w:val="00B3045B"/>
    <w:rsid w:val="00B305BC"/>
    <w:rsid w:val="00B30704"/>
    <w:rsid w:val="00B30CF2"/>
    <w:rsid w:val="00B30D1D"/>
    <w:rsid w:val="00B30EB2"/>
    <w:rsid w:val="00B30EFE"/>
    <w:rsid w:val="00B30F56"/>
    <w:rsid w:val="00B31418"/>
    <w:rsid w:val="00B31433"/>
    <w:rsid w:val="00B315B5"/>
    <w:rsid w:val="00B31612"/>
    <w:rsid w:val="00B316D5"/>
    <w:rsid w:val="00B31826"/>
    <w:rsid w:val="00B3196C"/>
    <w:rsid w:val="00B3198F"/>
    <w:rsid w:val="00B31C04"/>
    <w:rsid w:val="00B31E6E"/>
    <w:rsid w:val="00B31FBB"/>
    <w:rsid w:val="00B320D7"/>
    <w:rsid w:val="00B32469"/>
    <w:rsid w:val="00B325DD"/>
    <w:rsid w:val="00B326FB"/>
    <w:rsid w:val="00B32733"/>
    <w:rsid w:val="00B32747"/>
    <w:rsid w:val="00B32803"/>
    <w:rsid w:val="00B328D1"/>
    <w:rsid w:val="00B32B69"/>
    <w:rsid w:val="00B32CF9"/>
    <w:rsid w:val="00B32D99"/>
    <w:rsid w:val="00B3305D"/>
    <w:rsid w:val="00B330EC"/>
    <w:rsid w:val="00B33352"/>
    <w:rsid w:val="00B3371F"/>
    <w:rsid w:val="00B33954"/>
    <w:rsid w:val="00B33A6C"/>
    <w:rsid w:val="00B33A76"/>
    <w:rsid w:val="00B33D47"/>
    <w:rsid w:val="00B3404D"/>
    <w:rsid w:val="00B340BC"/>
    <w:rsid w:val="00B342E5"/>
    <w:rsid w:val="00B34314"/>
    <w:rsid w:val="00B346B3"/>
    <w:rsid w:val="00B347E1"/>
    <w:rsid w:val="00B34CB6"/>
    <w:rsid w:val="00B34CF9"/>
    <w:rsid w:val="00B34DB0"/>
    <w:rsid w:val="00B35024"/>
    <w:rsid w:val="00B3517F"/>
    <w:rsid w:val="00B35377"/>
    <w:rsid w:val="00B353A9"/>
    <w:rsid w:val="00B35444"/>
    <w:rsid w:val="00B3583B"/>
    <w:rsid w:val="00B35EC3"/>
    <w:rsid w:val="00B35ECC"/>
    <w:rsid w:val="00B35EE2"/>
    <w:rsid w:val="00B360BF"/>
    <w:rsid w:val="00B3630F"/>
    <w:rsid w:val="00B36555"/>
    <w:rsid w:val="00B3693C"/>
    <w:rsid w:val="00B36976"/>
    <w:rsid w:val="00B36A12"/>
    <w:rsid w:val="00B36DA5"/>
    <w:rsid w:val="00B36FD1"/>
    <w:rsid w:val="00B37139"/>
    <w:rsid w:val="00B3724B"/>
    <w:rsid w:val="00B373EF"/>
    <w:rsid w:val="00B3742C"/>
    <w:rsid w:val="00B374C6"/>
    <w:rsid w:val="00B37528"/>
    <w:rsid w:val="00B375DA"/>
    <w:rsid w:val="00B37A8F"/>
    <w:rsid w:val="00B37C8E"/>
    <w:rsid w:val="00B37F69"/>
    <w:rsid w:val="00B37F6C"/>
    <w:rsid w:val="00B40190"/>
    <w:rsid w:val="00B40273"/>
    <w:rsid w:val="00B403AC"/>
    <w:rsid w:val="00B4058B"/>
    <w:rsid w:val="00B405BB"/>
    <w:rsid w:val="00B407D6"/>
    <w:rsid w:val="00B408BB"/>
    <w:rsid w:val="00B409D9"/>
    <w:rsid w:val="00B40B85"/>
    <w:rsid w:val="00B40BE3"/>
    <w:rsid w:val="00B40C30"/>
    <w:rsid w:val="00B4181A"/>
    <w:rsid w:val="00B418A3"/>
    <w:rsid w:val="00B41935"/>
    <w:rsid w:val="00B41B19"/>
    <w:rsid w:val="00B41BB9"/>
    <w:rsid w:val="00B41BBE"/>
    <w:rsid w:val="00B41C5A"/>
    <w:rsid w:val="00B41D76"/>
    <w:rsid w:val="00B41F13"/>
    <w:rsid w:val="00B4200B"/>
    <w:rsid w:val="00B42068"/>
    <w:rsid w:val="00B4223D"/>
    <w:rsid w:val="00B422D6"/>
    <w:rsid w:val="00B42352"/>
    <w:rsid w:val="00B426B6"/>
    <w:rsid w:val="00B4289D"/>
    <w:rsid w:val="00B428C6"/>
    <w:rsid w:val="00B42D63"/>
    <w:rsid w:val="00B42E4D"/>
    <w:rsid w:val="00B42EE3"/>
    <w:rsid w:val="00B42F7A"/>
    <w:rsid w:val="00B42F99"/>
    <w:rsid w:val="00B4300A"/>
    <w:rsid w:val="00B430C9"/>
    <w:rsid w:val="00B43168"/>
    <w:rsid w:val="00B431D9"/>
    <w:rsid w:val="00B437C3"/>
    <w:rsid w:val="00B437E0"/>
    <w:rsid w:val="00B4380D"/>
    <w:rsid w:val="00B43A75"/>
    <w:rsid w:val="00B43A89"/>
    <w:rsid w:val="00B43AEE"/>
    <w:rsid w:val="00B43BD3"/>
    <w:rsid w:val="00B43E56"/>
    <w:rsid w:val="00B43F2B"/>
    <w:rsid w:val="00B43F93"/>
    <w:rsid w:val="00B44121"/>
    <w:rsid w:val="00B443E4"/>
    <w:rsid w:val="00B4475D"/>
    <w:rsid w:val="00B44951"/>
    <w:rsid w:val="00B4498C"/>
    <w:rsid w:val="00B449AE"/>
    <w:rsid w:val="00B44A39"/>
    <w:rsid w:val="00B44B92"/>
    <w:rsid w:val="00B4504B"/>
    <w:rsid w:val="00B45062"/>
    <w:rsid w:val="00B4513E"/>
    <w:rsid w:val="00B4515F"/>
    <w:rsid w:val="00B452B9"/>
    <w:rsid w:val="00B4533A"/>
    <w:rsid w:val="00B454F1"/>
    <w:rsid w:val="00B4557A"/>
    <w:rsid w:val="00B4564F"/>
    <w:rsid w:val="00B456AC"/>
    <w:rsid w:val="00B45751"/>
    <w:rsid w:val="00B458C4"/>
    <w:rsid w:val="00B4590B"/>
    <w:rsid w:val="00B4599D"/>
    <w:rsid w:val="00B45AD3"/>
    <w:rsid w:val="00B45BCD"/>
    <w:rsid w:val="00B45F64"/>
    <w:rsid w:val="00B46020"/>
    <w:rsid w:val="00B46092"/>
    <w:rsid w:val="00B4615E"/>
    <w:rsid w:val="00B46573"/>
    <w:rsid w:val="00B465D5"/>
    <w:rsid w:val="00B46A6D"/>
    <w:rsid w:val="00B46CB7"/>
    <w:rsid w:val="00B46E24"/>
    <w:rsid w:val="00B471A8"/>
    <w:rsid w:val="00B471B1"/>
    <w:rsid w:val="00B475EC"/>
    <w:rsid w:val="00B4766F"/>
    <w:rsid w:val="00B477C4"/>
    <w:rsid w:val="00B47A41"/>
    <w:rsid w:val="00B47AC2"/>
    <w:rsid w:val="00B47CBB"/>
    <w:rsid w:val="00B47CDD"/>
    <w:rsid w:val="00B47EC4"/>
    <w:rsid w:val="00B47F9B"/>
    <w:rsid w:val="00B5010A"/>
    <w:rsid w:val="00B5044F"/>
    <w:rsid w:val="00B504E1"/>
    <w:rsid w:val="00B505EE"/>
    <w:rsid w:val="00B506AA"/>
    <w:rsid w:val="00B508AB"/>
    <w:rsid w:val="00B509A4"/>
    <w:rsid w:val="00B509B7"/>
    <w:rsid w:val="00B50C05"/>
    <w:rsid w:val="00B50C41"/>
    <w:rsid w:val="00B50CFA"/>
    <w:rsid w:val="00B50E77"/>
    <w:rsid w:val="00B510C6"/>
    <w:rsid w:val="00B510C7"/>
    <w:rsid w:val="00B5118D"/>
    <w:rsid w:val="00B51430"/>
    <w:rsid w:val="00B51446"/>
    <w:rsid w:val="00B51671"/>
    <w:rsid w:val="00B518A7"/>
    <w:rsid w:val="00B519E7"/>
    <w:rsid w:val="00B51AD9"/>
    <w:rsid w:val="00B51DC4"/>
    <w:rsid w:val="00B51F2C"/>
    <w:rsid w:val="00B52600"/>
    <w:rsid w:val="00B52772"/>
    <w:rsid w:val="00B528E8"/>
    <w:rsid w:val="00B5292C"/>
    <w:rsid w:val="00B52931"/>
    <w:rsid w:val="00B529BE"/>
    <w:rsid w:val="00B52AAC"/>
    <w:rsid w:val="00B52B70"/>
    <w:rsid w:val="00B52CA7"/>
    <w:rsid w:val="00B52E51"/>
    <w:rsid w:val="00B52F61"/>
    <w:rsid w:val="00B52FB5"/>
    <w:rsid w:val="00B52FDC"/>
    <w:rsid w:val="00B53170"/>
    <w:rsid w:val="00B5321B"/>
    <w:rsid w:val="00B534F4"/>
    <w:rsid w:val="00B53576"/>
    <w:rsid w:val="00B53636"/>
    <w:rsid w:val="00B5380B"/>
    <w:rsid w:val="00B53D23"/>
    <w:rsid w:val="00B53D5E"/>
    <w:rsid w:val="00B53DEC"/>
    <w:rsid w:val="00B540FF"/>
    <w:rsid w:val="00B54280"/>
    <w:rsid w:val="00B5430C"/>
    <w:rsid w:val="00B543B5"/>
    <w:rsid w:val="00B5473F"/>
    <w:rsid w:val="00B548EF"/>
    <w:rsid w:val="00B54912"/>
    <w:rsid w:val="00B549EE"/>
    <w:rsid w:val="00B54D5A"/>
    <w:rsid w:val="00B54E4E"/>
    <w:rsid w:val="00B54E96"/>
    <w:rsid w:val="00B5537F"/>
    <w:rsid w:val="00B5551C"/>
    <w:rsid w:val="00B555CE"/>
    <w:rsid w:val="00B556FA"/>
    <w:rsid w:val="00B557F4"/>
    <w:rsid w:val="00B55840"/>
    <w:rsid w:val="00B559AF"/>
    <w:rsid w:val="00B55A58"/>
    <w:rsid w:val="00B55B04"/>
    <w:rsid w:val="00B55B41"/>
    <w:rsid w:val="00B55C61"/>
    <w:rsid w:val="00B55D43"/>
    <w:rsid w:val="00B55E69"/>
    <w:rsid w:val="00B5629D"/>
    <w:rsid w:val="00B562A7"/>
    <w:rsid w:val="00B56435"/>
    <w:rsid w:val="00B565BA"/>
    <w:rsid w:val="00B56A34"/>
    <w:rsid w:val="00B56CE0"/>
    <w:rsid w:val="00B56DEB"/>
    <w:rsid w:val="00B570E5"/>
    <w:rsid w:val="00B5712B"/>
    <w:rsid w:val="00B57138"/>
    <w:rsid w:val="00B57253"/>
    <w:rsid w:val="00B57398"/>
    <w:rsid w:val="00B57406"/>
    <w:rsid w:val="00B576D4"/>
    <w:rsid w:val="00B578F5"/>
    <w:rsid w:val="00B57AE2"/>
    <w:rsid w:val="00B57B81"/>
    <w:rsid w:val="00B57C74"/>
    <w:rsid w:val="00B60119"/>
    <w:rsid w:val="00B60364"/>
    <w:rsid w:val="00B6039D"/>
    <w:rsid w:val="00B605B5"/>
    <w:rsid w:val="00B60730"/>
    <w:rsid w:val="00B6094A"/>
    <w:rsid w:val="00B60BCE"/>
    <w:rsid w:val="00B60BDD"/>
    <w:rsid w:val="00B60C9A"/>
    <w:rsid w:val="00B60FA4"/>
    <w:rsid w:val="00B6100F"/>
    <w:rsid w:val="00B61054"/>
    <w:rsid w:val="00B61652"/>
    <w:rsid w:val="00B61A94"/>
    <w:rsid w:val="00B61F8B"/>
    <w:rsid w:val="00B6223F"/>
    <w:rsid w:val="00B6259F"/>
    <w:rsid w:val="00B626A5"/>
    <w:rsid w:val="00B626CC"/>
    <w:rsid w:val="00B62830"/>
    <w:rsid w:val="00B62833"/>
    <w:rsid w:val="00B62874"/>
    <w:rsid w:val="00B629AF"/>
    <w:rsid w:val="00B629B7"/>
    <w:rsid w:val="00B62A5A"/>
    <w:rsid w:val="00B62B89"/>
    <w:rsid w:val="00B62C63"/>
    <w:rsid w:val="00B62EDB"/>
    <w:rsid w:val="00B62F03"/>
    <w:rsid w:val="00B6330E"/>
    <w:rsid w:val="00B63422"/>
    <w:rsid w:val="00B63473"/>
    <w:rsid w:val="00B635E8"/>
    <w:rsid w:val="00B6364C"/>
    <w:rsid w:val="00B63752"/>
    <w:rsid w:val="00B6379C"/>
    <w:rsid w:val="00B6390B"/>
    <w:rsid w:val="00B6392E"/>
    <w:rsid w:val="00B63945"/>
    <w:rsid w:val="00B63B08"/>
    <w:rsid w:val="00B63BCE"/>
    <w:rsid w:val="00B63C87"/>
    <w:rsid w:val="00B63DA6"/>
    <w:rsid w:val="00B63EA7"/>
    <w:rsid w:val="00B64000"/>
    <w:rsid w:val="00B64133"/>
    <w:rsid w:val="00B64198"/>
    <w:rsid w:val="00B643B4"/>
    <w:rsid w:val="00B643C8"/>
    <w:rsid w:val="00B64568"/>
    <w:rsid w:val="00B646D3"/>
    <w:rsid w:val="00B64896"/>
    <w:rsid w:val="00B64A70"/>
    <w:rsid w:val="00B64AF9"/>
    <w:rsid w:val="00B64C8A"/>
    <w:rsid w:val="00B651EB"/>
    <w:rsid w:val="00B65347"/>
    <w:rsid w:val="00B6539A"/>
    <w:rsid w:val="00B65535"/>
    <w:rsid w:val="00B65543"/>
    <w:rsid w:val="00B6558B"/>
    <w:rsid w:val="00B6559D"/>
    <w:rsid w:val="00B655B1"/>
    <w:rsid w:val="00B65635"/>
    <w:rsid w:val="00B657A1"/>
    <w:rsid w:val="00B6586D"/>
    <w:rsid w:val="00B65922"/>
    <w:rsid w:val="00B65C81"/>
    <w:rsid w:val="00B65DE1"/>
    <w:rsid w:val="00B65FD9"/>
    <w:rsid w:val="00B65FF6"/>
    <w:rsid w:val="00B66122"/>
    <w:rsid w:val="00B6622E"/>
    <w:rsid w:val="00B6636E"/>
    <w:rsid w:val="00B664DE"/>
    <w:rsid w:val="00B6655B"/>
    <w:rsid w:val="00B66956"/>
    <w:rsid w:val="00B669AA"/>
    <w:rsid w:val="00B669FF"/>
    <w:rsid w:val="00B66B5F"/>
    <w:rsid w:val="00B66B76"/>
    <w:rsid w:val="00B66B96"/>
    <w:rsid w:val="00B66BCF"/>
    <w:rsid w:val="00B66FEA"/>
    <w:rsid w:val="00B671EA"/>
    <w:rsid w:val="00B67215"/>
    <w:rsid w:val="00B67382"/>
    <w:rsid w:val="00B6740A"/>
    <w:rsid w:val="00B674B6"/>
    <w:rsid w:val="00B675B3"/>
    <w:rsid w:val="00B67637"/>
    <w:rsid w:val="00B678B7"/>
    <w:rsid w:val="00B67A80"/>
    <w:rsid w:val="00B70286"/>
    <w:rsid w:val="00B70389"/>
    <w:rsid w:val="00B703B5"/>
    <w:rsid w:val="00B70418"/>
    <w:rsid w:val="00B70483"/>
    <w:rsid w:val="00B7048C"/>
    <w:rsid w:val="00B70908"/>
    <w:rsid w:val="00B70B95"/>
    <w:rsid w:val="00B70CD5"/>
    <w:rsid w:val="00B710F9"/>
    <w:rsid w:val="00B7124E"/>
    <w:rsid w:val="00B71387"/>
    <w:rsid w:val="00B713BA"/>
    <w:rsid w:val="00B714AD"/>
    <w:rsid w:val="00B7156A"/>
    <w:rsid w:val="00B716F7"/>
    <w:rsid w:val="00B71717"/>
    <w:rsid w:val="00B7185A"/>
    <w:rsid w:val="00B71873"/>
    <w:rsid w:val="00B71B5B"/>
    <w:rsid w:val="00B71B93"/>
    <w:rsid w:val="00B71F71"/>
    <w:rsid w:val="00B71F98"/>
    <w:rsid w:val="00B721DD"/>
    <w:rsid w:val="00B72260"/>
    <w:rsid w:val="00B72617"/>
    <w:rsid w:val="00B7265B"/>
    <w:rsid w:val="00B72953"/>
    <w:rsid w:val="00B729A0"/>
    <w:rsid w:val="00B729C1"/>
    <w:rsid w:val="00B72AF0"/>
    <w:rsid w:val="00B72BEC"/>
    <w:rsid w:val="00B72EF0"/>
    <w:rsid w:val="00B72F48"/>
    <w:rsid w:val="00B73007"/>
    <w:rsid w:val="00B73030"/>
    <w:rsid w:val="00B7310F"/>
    <w:rsid w:val="00B731A2"/>
    <w:rsid w:val="00B731CA"/>
    <w:rsid w:val="00B731EF"/>
    <w:rsid w:val="00B7354F"/>
    <w:rsid w:val="00B737EB"/>
    <w:rsid w:val="00B73929"/>
    <w:rsid w:val="00B73AB3"/>
    <w:rsid w:val="00B73B60"/>
    <w:rsid w:val="00B73BFE"/>
    <w:rsid w:val="00B73C45"/>
    <w:rsid w:val="00B73CC5"/>
    <w:rsid w:val="00B73D7F"/>
    <w:rsid w:val="00B73D87"/>
    <w:rsid w:val="00B74417"/>
    <w:rsid w:val="00B746C2"/>
    <w:rsid w:val="00B749C2"/>
    <w:rsid w:val="00B74B60"/>
    <w:rsid w:val="00B74D28"/>
    <w:rsid w:val="00B74EB0"/>
    <w:rsid w:val="00B74EC0"/>
    <w:rsid w:val="00B74F51"/>
    <w:rsid w:val="00B75252"/>
    <w:rsid w:val="00B75454"/>
    <w:rsid w:val="00B75620"/>
    <w:rsid w:val="00B75669"/>
    <w:rsid w:val="00B7597B"/>
    <w:rsid w:val="00B759EA"/>
    <w:rsid w:val="00B75B46"/>
    <w:rsid w:val="00B75C02"/>
    <w:rsid w:val="00B75C29"/>
    <w:rsid w:val="00B76051"/>
    <w:rsid w:val="00B76086"/>
    <w:rsid w:val="00B763B8"/>
    <w:rsid w:val="00B764D0"/>
    <w:rsid w:val="00B76544"/>
    <w:rsid w:val="00B765A4"/>
    <w:rsid w:val="00B76783"/>
    <w:rsid w:val="00B76AAF"/>
    <w:rsid w:val="00B76B7F"/>
    <w:rsid w:val="00B76EA0"/>
    <w:rsid w:val="00B76F12"/>
    <w:rsid w:val="00B76FF4"/>
    <w:rsid w:val="00B77020"/>
    <w:rsid w:val="00B770B4"/>
    <w:rsid w:val="00B77269"/>
    <w:rsid w:val="00B775EE"/>
    <w:rsid w:val="00B77906"/>
    <w:rsid w:val="00B77934"/>
    <w:rsid w:val="00B77A92"/>
    <w:rsid w:val="00B77C13"/>
    <w:rsid w:val="00B77C81"/>
    <w:rsid w:val="00B77D27"/>
    <w:rsid w:val="00B77E7F"/>
    <w:rsid w:val="00B80074"/>
    <w:rsid w:val="00B801F1"/>
    <w:rsid w:val="00B801FC"/>
    <w:rsid w:val="00B8020E"/>
    <w:rsid w:val="00B802A6"/>
    <w:rsid w:val="00B80382"/>
    <w:rsid w:val="00B80544"/>
    <w:rsid w:val="00B80637"/>
    <w:rsid w:val="00B809CC"/>
    <w:rsid w:val="00B81375"/>
    <w:rsid w:val="00B8137C"/>
    <w:rsid w:val="00B81468"/>
    <w:rsid w:val="00B815A1"/>
    <w:rsid w:val="00B8184D"/>
    <w:rsid w:val="00B81CBD"/>
    <w:rsid w:val="00B81E22"/>
    <w:rsid w:val="00B82229"/>
    <w:rsid w:val="00B8229B"/>
    <w:rsid w:val="00B8235A"/>
    <w:rsid w:val="00B823FE"/>
    <w:rsid w:val="00B82497"/>
    <w:rsid w:val="00B8263B"/>
    <w:rsid w:val="00B827F1"/>
    <w:rsid w:val="00B82A98"/>
    <w:rsid w:val="00B82CC4"/>
    <w:rsid w:val="00B82D43"/>
    <w:rsid w:val="00B82E42"/>
    <w:rsid w:val="00B832C9"/>
    <w:rsid w:val="00B833C0"/>
    <w:rsid w:val="00B8347C"/>
    <w:rsid w:val="00B83951"/>
    <w:rsid w:val="00B8396D"/>
    <w:rsid w:val="00B839CD"/>
    <w:rsid w:val="00B83A5D"/>
    <w:rsid w:val="00B83AE2"/>
    <w:rsid w:val="00B83B4E"/>
    <w:rsid w:val="00B83C1E"/>
    <w:rsid w:val="00B83D99"/>
    <w:rsid w:val="00B83E91"/>
    <w:rsid w:val="00B83F60"/>
    <w:rsid w:val="00B8426B"/>
    <w:rsid w:val="00B8427A"/>
    <w:rsid w:val="00B8433F"/>
    <w:rsid w:val="00B843F8"/>
    <w:rsid w:val="00B84446"/>
    <w:rsid w:val="00B84615"/>
    <w:rsid w:val="00B84641"/>
    <w:rsid w:val="00B8478F"/>
    <w:rsid w:val="00B847D0"/>
    <w:rsid w:val="00B84841"/>
    <w:rsid w:val="00B84A31"/>
    <w:rsid w:val="00B84E2E"/>
    <w:rsid w:val="00B85256"/>
    <w:rsid w:val="00B85615"/>
    <w:rsid w:val="00B85671"/>
    <w:rsid w:val="00B8586C"/>
    <w:rsid w:val="00B858B1"/>
    <w:rsid w:val="00B85A41"/>
    <w:rsid w:val="00B85A55"/>
    <w:rsid w:val="00B85D84"/>
    <w:rsid w:val="00B85F04"/>
    <w:rsid w:val="00B85F9E"/>
    <w:rsid w:val="00B86041"/>
    <w:rsid w:val="00B86088"/>
    <w:rsid w:val="00B860CC"/>
    <w:rsid w:val="00B86125"/>
    <w:rsid w:val="00B861FE"/>
    <w:rsid w:val="00B862FB"/>
    <w:rsid w:val="00B8630D"/>
    <w:rsid w:val="00B86664"/>
    <w:rsid w:val="00B86790"/>
    <w:rsid w:val="00B86B9B"/>
    <w:rsid w:val="00B86D38"/>
    <w:rsid w:val="00B86E5D"/>
    <w:rsid w:val="00B874BE"/>
    <w:rsid w:val="00B874DB"/>
    <w:rsid w:val="00B8751C"/>
    <w:rsid w:val="00B8761F"/>
    <w:rsid w:val="00B87927"/>
    <w:rsid w:val="00B87A76"/>
    <w:rsid w:val="00B87B82"/>
    <w:rsid w:val="00B87E0B"/>
    <w:rsid w:val="00B90349"/>
    <w:rsid w:val="00B90744"/>
    <w:rsid w:val="00B9074F"/>
    <w:rsid w:val="00B90780"/>
    <w:rsid w:val="00B90897"/>
    <w:rsid w:val="00B90E2D"/>
    <w:rsid w:val="00B90E34"/>
    <w:rsid w:val="00B90FB7"/>
    <w:rsid w:val="00B91036"/>
    <w:rsid w:val="00B9106E"/>
    <w:rsid w:val="00B9108D"/>
    <w:rsid w:val="00B910ED"/>
    <w:rsid w:val="00B911B6"/>
    <w:rsid w:val="00B9134E"/>
    <w:rsid w:val="00B914F2"/>
    <w:rsid w:val="00B915EE"/>
    <w:rsid w:val="00B916F9"/>
    <w:rsid w:val="00B9186A"/>
    <w:rsid w:val="00B9186B"/>
    <w:rsid w:val="00B91980"/>
    <w:rsid w:val="00B919C9"/>
    <w:rsid w:val="00B91BA7"/>
    <w:rsid w:val="00B91D85"/>
    <w:rsid w:val="00B91DB6"/>
    <w:rsid w:val="00B91E42"/>
    <w:rsid w:val="00B91EA3"/>
    <w:rsid w:val="00B92085"/>
    <w:rsid w:val="00B920C4"/>
    <w:rsid w:val="00B921D7"/>
    <w:rsid w:val="00B92247"/>
    <w:rsid w:val="00B9249F"/>
    <w:rsid w:val="00B92517"/>
    <w:rsid w:val="00B925E8"/>
    <w:rsid w:val="00B927E0"/>
    <w:rsid w:val="00B92803"/>
    <w:rsid w:val="00B928E6"/>
    <w:rsid w:val="00B928F5"/>
    <w:rsid w:val="00B9291B"/>
    <w:rsid w:val="00B92943"/>
    <w:rsid w:val="00B92A87"/>
    <w:rsid w:val="00B92B85"/>
    <w:rsid w:val="00B92C7D"/>
    <w:rsid w:val="00B92DC2"/>
    <w:rsid w:val="00B932E0"/>
    <w:rsid w:val="00B934F2"/>
    <w:rsid w:val="00B9350B"/>
    <w:rsid w:val="00B93795"/>
    <w:rsid w:val="00B937B7"/>
    <w:rsid w:val="00B93A6E"/>
    <w:rsid w:val="00B93B16"/>
    <w:rsid w:val="00B93C47"/>
    <w:rsid w:val="00B93C81"/>
    <w:rsid w:val="00B93CB9"/>
    <w:rsid w:val="00B93CC1"/>
    <w:rsid w:val="00B93D99"/>
    <w:rsid w:val="00B93E75"/>
    <w:rsid w:val="00B94214"/>
    <w:rsid w:val="00B94492"/>
    <w:rsid w:val="00B9450B"/>
    <w:rsid w:val="00B94555"/>
    <w:rsid w:val="00B94706"/>
    <w:rsid w:val="00B947A4"/>
    <w:rsid w:val="00B94C8B"/>
    <w:rsid w:val="00B94DA6"/>
    <w:rsid w:val="00B94E08"/>
    <w:rsid w:val="00B950A1"/>
    <w:rsid w:val="00B9516B"/>
    <w:rsid w:val="00B95181"/>
    <w:rsid w:val="00B953AA"/>
    <w:rsid w:val="00B95526"/>
    <w:rsid w:val="00B95705"/>
    <w:rsid w:val="00B95718"/>
    <w:rsid w:val="00B95734"/>
    <w:rsid w:val="00B957FE"/>
    <w:rsid w:val="00B95869"/>
    <w:rsid w:val="00B958E9"/>
    <w:rsid w:val="00B9592E"/>
    <w:rsid w:val="00B95A27"/>
    <w:rsid w:val="00B95BD4"/>
    <w:rsid w:val="00B95C53"/>
    <w:rsid w:val="00B95CDA"/>
    <w:rsid w:val="00B95D84"/>
    <w:rsid w:val="00B95F3B"/>
    <w:rsid w:val="00B96344"/>
    <w:rsid w:val="00B96492"/>
    <w:rsid w:val="00B965EC"/>
    <w:rsid w:val="00B966CD"/>
    <w:rsid w:val="00B968D6"/>
    <w:rsid w:val="00B96C8B"/>
    <w:rsid w:val="00B96D52"/>
    <w:rsid w:val="00B96E83"/>
    <w:rsid w:val="00B97262"/>
    <w:rsid w:val="00B972DB"/>
    <w:rsid w:val="00B9756A"/>
    <w:rsid w:val="00B975AE"/>
    <w:rsid w:val="00B97A4D"/>
    <w:rsid w:val="00B97F78"/>
    <w:rsid w:val="00BA0092"/>
    <w:rsid w:val="00BA0095"/>
    <w:rsid w:val="00BA043C"/>
    <w:rsid w:val="00BA0622"/>
    <w:rsid w:val="00BA0C83"/>
    <w:rsid w:val="00BA0EEE"/>
    <w:rsid w:val="00BA0F58"/>
    <w:rsid w:val="00BA1032"/>
    <w:rsid w:val="00BA10A9"/>
    <w:rsid w:val="00BA1453"/>
    <w:rsid w:val="00BA150D"/>
    <w:rsid w:val="00BA1617"/>
    <w:rsid w:val="00BA1A9B"/>
    <w:rsid w:val="00BA1AB7"/>
    <w:rsid w:val="00BA1B71"/>
    <w:rsid w:val="00BA1C19"/>
    <w:rsid w:val="00BA1C29"/>
    <w:rsid w:val="00BA2008"/>
    <w:rsid w:val="00BA21BF"/>
    <w:rsid w:val="00BA2339"/>
    <w:rsid w:val="00BA235D"/>
    <w:rsid w:val="00BA249B"/>
    <w:rsid w:val="00BA24CC"/>
    <w:rsid w:val="00BA2659"/>
    <w:rsid w:val="00BA26EB"/>
    <w:rsid w:val="00BA2709"/>
    <w:rsid w:val="00BA29DF"/>
    <w:rsid w:val="00BA2A65"/>
    <w:rsid w:val="00BA2AC8"/>
    <w:rsid w:val="00BA344E"/>
    <w:rsid w:val="00BA3473"/>
    <w:rsid w:val="00BA34A1"/>
    <w:rsid w:val="00BA379A"/>
    <w:rsid w:val="00BA37A4"/>
    <w:rsid w:val="00BA3806"/>
    <w:rsid w:val="00BA39BA"/>
    <w:rsid w:val="00BA3A32"/>
    <w:rsid w:val="00BA3CE9"/>
    <w:rsid w:val="00BA3EE3"/>
    <w:rsid w:val="00BA4034"/>
    <w:rsid w:val="00BA41ED"/>
    <w:rsid w:val="00BA425E"/>
    <w:rsid w:val="00BA42F7"/>
    <w:rsid w:val="00BA441E"/>
    <w:rsid w:val="00BA4511"/>
    <w:rsid w:val="00BA45E8"/>
    <w:rsid w:val="00BA480B"/>
    <w:rsid w:val="00BA48F5"/>
    <w:rsid w:val="00BA4C08"/>
    <w:rsid w:val="00BA5119"/>
    <w:rsid w:val="00BA5291"/>
    <w:rsid w:val="00BA544C"/>
    <w:rsid w:val="00BA5494"/>
    <w:rsid w:val="00BA54A8"/>
    <w:rsid w:val="00BA5875"/>
    <w:rsid w:val="00BA59CF"/>
    <w:rsid w:val="00BA5A76"/>
    <w:rsid w:val="00BA5B1B"/>
    <w:rsid w:val="00BA5C33"/>
    <w:rsid w:val="00BA5C56"/>
    <w:rsid w:val="00BA5FA9"/>
    <w:rsid w:val="00BA60D1"/>
    <w:rsid w:val="00BA60D9"/>
    <w:rsid w:val="00BA6141"/>
    <w:rsid w:val="00BA61F5"/>
    <w:rsid w:val="00BA659A"/>
    <w:rsid w:val="00BA6841"/>
    <w:rsid w:val="00BA69F2"/>
    <w:rsid w:val="00BA6AED"/>
    <w:rsid w:val="00BA6E9B"/>
    <w:rsid w:val="00BA6F5B"/>
    <w:rsid w:val="00BA774C"/>
    <w:rsid w:val="00BA7964"/>
    <w:rsid w:val="00BA7B9F"/>
    <w:rsid w:val="00BA7D52"/>
    <w:rsid w:val="00BA7D80"/>
    <w:rsid w:val="00BA7EFF"/>
    <w:rsid w:val="00BA7F81"/>
    <w:rsid w:val="00BB00F3"/>
    <w:rsid w:val="00BB041B"/>
    <w:rsid w:val="00BB056A"/>
    <w:rsid w:val="00BB08B8"/>
    <w:rsid w:val="00BB0CFE"/>
    <w:rsid w:val="00BB0E24"/>
    <w:rsid w:val="00BB11BD"/>
    <w:rsid w:val="00BB1263"/>
    <w:rsid w:val="00BB13A1"/>
    <w:rsid w:val="00BB1429"/>
    <w:rsid w:val="00BB1584"/>
    <w:rsid w:val="00BB15FC"/>
    <w:rsid w:val="00BB165B"/>
    <w:rsid w:val="00BB1A45"/>
    <w:rsid w:val="00BB1C6B"/>
    <w:rsid w:val="00BB2135"/>
    <w:rsid w:val="00BB222E"/>
    <w:rsid w:val="00BB2238"/>
    <w:rsid w:val="00BB2313"/>
    <w:rsid w:val="00BB2388"/>
    <w:rsid w:val="00BB23DD"/>
    <w:rsid w:val="00BB2452"/>
    <w:rsid w:val="00BB264D"/>
    <w:rsid w:val="00BB27DA"/>
    <w:rsid w:val="00BB288B"/>
    <w:rsid w:val="00BB29D7"/>
    <w:rsid w:val="00BB2B75"/>
    <w:rsid w:val="00BB2B77"/>
    <w:rsid w:val="00BB2C8D"/>
    <w:rsid w:val="00BB2CE6"/>
    <w:rsid w:val="00BB30D9"/>
    <w:rsid w:val="00BB3294"/>
    <w:rsid w:val="00BB3537"/>
    <w:rsid w:val="00BB3804"/>
    <w:rsid w:val="00BB386A"/>
    <w:rsid w:val="00BB3A95"/>
    <w:rsid w:val="00BB3AD1"/>
    <w:rsid w:val="00BB3B39"/>
    <w:rsid w:val="00BB3BC7"/>
    <w:rsid w:val="00BB3FAD"/>
    <w:rsid w:val="00BB40BF"/>
    <w:rsid w:val="00BB40E0"/>
    <w:rsid w:val="00BB4109"/>
    <w:rsid w:val="00BB4257"/>
    <w:rsid w:val="00BB4592"/>
    <w:rsid w:val="00BB468C"/>
    <w:rsid w:val="00BB4732"/>
    <w:rsid w:val="00BB475C"/>
    <w:rsid w:val="00BB4B30"/>
    <w:rsid w:val="00BB4BA5"/>
    <w:rsid w:val="00BB4C88"/>
    <w:rsid w:val="00BB4CBC"/>
    <w:rsid w:val="00BB4DC5"/>
    <w:rsid w:val="00BB4E98"/>
    <w:rsid w:val="00BB4ED0"/>
    <w:rsid w:val="00BB500C"/>
    <w:rsid w:val="00BB5129"/>
    <w:rsid w:val="00BB51A1"/>
    <w:rsid w:val="00BB51C8"/>
    <w:rsid w:val="00BB52C3"/>
    <w:rsid w:val="00BB543E"/>
    <w:rsid w:val="00BB5705"/>
    <w:rsid w:val="00BB5BB2"/>
    <w:rsid w:val="00BB5C5F"/>
    <w:rsid w:val="00BB5C60"/>
    <w:rsid w:val="00BB5D31"/>
    <w:rsid w:val="00BB5FF1"/>
    <w:rsid w:val="00BB61E2"/>
    <w:rsid w:val="00BB6326"/>
    <w:rsid w:val="00BB6487"/>
    <w:rsid w:val="00BB699E"/>
    <w:rsid w:val="00BB6FED"/>
    <w:rsid w:val="00BB704B"/>
    <w:rsid w:val="00BB7136"/>
    <w:rsid w:val="00BB7917"/>
    <w:rsid w:val="00BB792B"/>
    <w:rsid w:val="00BB79D0"/>
    <w:rsid w:val="00BB7A09"/>
    <w:rsid w:val="00BB7AAC"/>
    <w:rsid w:val="00BB7D34"/>
    <w:rsid w:val="00BB7D84"/>
    <w:rsid w:val="00BB7DA1"/>
    <w:rsid w:val="00BB7E0D"/>
    <w:rsid w:val="00BB7E26"/>
    <w:rsid w:val="00BB7EBE"/>
    <w:rsid w:val="00BB7F95"/>
    <w:rsid w:val="00BB7FB8"/>
    <w:rsid w:val="00BC0055"/>
    <w:rsid w:val="00BC007F"/>
    <w:rsid w:val="00BC00BC"/>
    <w:rsid w:val="00BC0189"/>
    <w:rsid w:val="00BC01D8"/>
    <w:rsid w:val="00BC01DB"/>
    <w:rsid w:val="00BC029F"/>
    <w:rsid w:val="00BC042F"/>
    <w:rsid w:val="00BC047C"/>
    <w:rsid w:val="00BC0606"/>
    <w:rsid w:val="00BC0AA3"/>
    <w:rsid w:val="00BC0BE8"/>
    <w:rsid w:val="00BC0D75"/>
    <w:rsid w:val="00BC1744"/>
    <w:rsid w:val="00BC1773"/>
    <w:rsid w:val="00BC1834"/>
    <w:rsid w:val="00BC18BB"/>
    <w:rsid w:val="00BC198F"/>
    <w:rsid w:val="00BC1D96"/>
    <w:rsid w:val="00BC2167"/>
    <w:rsid w:val="00BC21C1"/>
    <w:rsid w:val="00BC2449"/>
    <w:rsid w:val="00BC2532"/>
    <w:rsid w:val="00BC260C"/>
    <w:rsid w:val="00BC26A5"/>
    <w:rsid w:val="00BC27B4"/>
    <w:rsid w:val="00BC289C"/>
    <w:rsid w:val="00BC290B"/>
    <w:rsid w:val="00BC2926"/>
    <w:rsid w:val="00BC2F93"/>
    <w:rsid w:val="00BC302F"/>
    <w:rsid w:val="00BC306B"/>
    <w:rsid w:val="00BC3076"/>
    <w:rsid w:val="00BC30A8"/>
    <w:rsid w:val="00BC31CB"/>
    <w:rsid w:val="00BC3201"/>
    <w:rsid w:val="00BC3472"/>
    <w:rsid w:val="00BC3888"/>
    <w:rsid w:val="00BC3A08"/>
    <w:rsid w:val="00BC3D9D"/>
    <w:rsid w:val="00BC3F9E"/>
    <w:rsid w:val="00BC41B6"/>
    <w:rsid w:val="00BC448D"/>
    <w:rsid w:val="00BC44FC"/>
    <w:rsid w:val="00BC4886"/>
    <w:rsid w:val="00BC4A06"/>
    <w:rsid w:val="00BC4B91"/>
    <w:rsid w:val="00BC4C31"/>
    <w:rsid w:val="00BC4CB2"/>
    <w:rsid w:val="00BC4EB7"/>
    <w:rsid w:val="00BC516C"/>
    <w:rsid w:val="00BC53BF"/>
    <w:rsid w:val="00BC561F"/>
    <w:rsid w:val="00BC56EA"/>
    <w:rsid w:val="00BC58A5"/>
    <w:rsid w:val="00BC59B2"/>
    <w:rsid w:val="00BC59E7"/>
    <w:rsid w:val="00BC5A7A"/>
    <w:rsid w:val="00BC5AF8"/>
    <w:rsid w:val="00BC603F"/>
    <w:rsid w:val="00BC6047"/>
    <w:rsid w:val="00BC6241"/>
    <w:rsid w:val="00BC6304"/>
    <w:rsid w:val="00BC6592"/>
    <w:rsid w:val="00BC675C"/>
    <w:rsid w:val="00BC697F"/>
    <w:rsid w:val="00BC69B4"/>
    <w:rsid w:val="00BC69CA"/>
    <w:rsid w:val="00BC6AEE"/>
    <w:rsid w:val="00BC6C97"/>
    <w:rsid w:val="00BC6DD6"/>
    <w:rsid w:val="00BC6DDF"/>
    <w:rsid w:val="00BC6E69"/>
    <w:rsid w:val="00BC717C"/>
    <w:rsid w:val="00BC725A"/>
    <w:rsid w:val="00BC72CD"/>
    <w:rsid w:val="00BC7526"/>
    <w:rsid w:val="00BC7551"/>
    <w:rsid w:val="00BC75B7"/>
    <w:rsid w:val="00BC75F1"/>
    <w:rsid w:val="00BC76B7"/>
    <w:rsid w:val="00BC78AB"/>
    <w:rsid w:val="00BC7AF8"/>
    <w:rsid w:val="00BC7BF8"/>
    <w:rsid w:val="00BC7C13"/>
    <w:rsid w:val="00BC7D4A"/>
    <w:rsid w:val="00BC7EB2"/>
    <w:rsid w:val="00BC7FF9"/>
    <w:rsid w:val="00BD00B5"/>
    <w:rsid w:val="00BD0196"/>
    <w:rsid w:val="00BD01AB"/>
    <w:rsid w:val="00BD02A0"/>
    <w:rsid w:val="00BD051F"/>
    <w:rsid w:val="00BD05D0"/>
    <w:rsid w:val="00BD0920"/>
    <w:rsid w:val="00BD0D36"/>
    <w:rsid w:val="00BD1115"/>
    <w:rsid w:val="00BD11DE"/>
    <w:rsid w:val="00BD1482"/>
    <w:rsid w:val="00BD14BF"/>
    <w:rsid w:val="00BD1A86"/>
    <w:rsid w:val="00BD1EEB"/>
    <w:rsid w:val="00BD1F67"/>
    <w:rsid w:val="00BD220F"/>
    <w:rsid w:val="00BD26AA"/>
    <w:rsid w:val="00BD2972"/>
    <w:rsid w:val="00BD2981"/>
    <w:rsid w:val="00BD2B12"/>
    <w:rsid w:val="00BD2D4B"/>
    <w:rsid w:val="00BD2D72"/>
    <w:rsid w:val="00BD2E9D"/>
    <w:rsid w:val="00BD3023"/>
    <w:rsid w:val="00BD302B"/>
    <w:rsid w:val="00BD3045"/>
    <w:rsid w:val="00BD328F"/>
    <w:rsid w:val="00BD3505"/>
    <w:rsid w:val="00BD35B6"/>
    <w:rsid w:val="00BD3AEC"/>
    <w:rsid w:val="00BD3B1B"/>
    <w:rsid w:val="00BD3B45"/>
    <w:rsid w:val="00BD41DC"/>
    <w:rsid w:val="00BD420C"/>
    <w:rsid w:val="00BD4230"/>
    <w:rsid w:val="00BD42DC"/>
    <w:rsid w:val="00BD454F"/>
    <w:rsid w:val="00BD4618"/>
    <w:rsid w:val="00BD4721"/>
    <w:rsid w:val="00BD4751"/>
    <w:rsid w:val="00BD490D"/>
    <w:rsid w:val="00BD4990"/>
    <w:rsid w:val="00BD4991"/>
    <w:rsid w:val="00BD49E9"/>
    <w:rsid w:val="00BD4DE7"/>
    <w:rsid w:val="00BD4EA8"/>
    <w:rsid w:val="00BD4FF2"/>
    <w:rsid w:val="00BD501E"/>
    <w:rsid w:val="00BD50EB"/>
    <w:rsid w:val="00BD529B"/>
    <w:rsid w:val="00BD5337"/>
    <w:rsid w:val="00BD579D"/>
    <w:rsid w:val="00BD5CC6"/>
    <w:rsid w:val="00BD5F09"/>
    <w:rsid w:val="00BD612E"/>
    <w:rsid w:val="00BD6503"/>
    <w:rsid w:val="00BD669E"/>
    <w:rsid w:val="00BD6A59"/>
    <w:rsid w:val="00BD6A7A"/>
    <w:rsid w:val="00BD6E04"/>
    <w:rsid w:val="00BD6FAB"/>
    <w:rsid w:val="00BD701C"/>
    <w:rsid w:val="00BD7647"/>
    <w:rsid w:val="00BD76C3"/>
    <w:rsid w:val="00BD78D0"/>
    <w:rsid w:val="00BD79E2"/>
    <w:rsid w:val="00BD7AD8"/>
    <w:rsid w:val="00BD7B7D"/>
    <w:rsid w:val="00BD7B8C"/>
    <w:rsid w:val="00BD7FE2"/>
    <w:rsid w:val="00BE0148"/>
    <w:rsid w:val="00BE0210"/>
    <w:rsid w:val="00BE02F5"/>
    <w:rsid w:val="00BE0342"/>
    <w:rsid w:val="00BE050D"/>
    <w:rsid w:val="00BE056F"/>
    <w:rsid w:val="00BE06DC"/>
    <w:rsid w:val="00BE078F"/>
    <w:rsid w:val="00BE08B8"/>
    <w:rsid w:val="00BE0A94"/>
    <w:rsid w:val="00BE0C8A"/>
    <w:rsid w:val="00BE0CFD"/>
    <w:rsid w:val="00BE0DA5"/>
    <w:rsid w:val="00BE0E54"/>
    <w:rsid w:val="00BE0EA8"/>
    <w:rsid w:val="00BE0EB5"/>
    <w:rsid w:val="00BE11D9"/>
    <w:rsid w:val="00BE1287"/>
    <w:rsid w:val="00BE13EF"/>
    <w:rsid w:val="00BE1406"/>
    <w:rsid w:val="00BE1441"/>
    <w:rsid w:val="00BE1997"/>
    <w:rsid w:val="00BE1A83"/>
    <w:rsid w:val="00BE1F20"/>
    <w:rsid w:val="00BE216E"/>
    <w:rsid w:val="00BE2854"/>
    <w:rsid w:val="00BE293D"/>
    <w:rsid w:val="00BE2A36"/>
    <w:rsid w:val="00BE2CDB"/>
    <w:rsid w:val="00BE2DF5"/>
    <w:rsid w:val="00BE2E26"/>
    <w:rsid w:val="00BE2E80"/>
    <w:rsid w:val="00BE3292"/>
    <w:rsid w:val="00BE34B5"/>
    <w:rsid w:val="00BE34BB"/>
    <w:rsid w:val="00BE34CD"/>
    <w:rsid w:val="00BE36B2"/>
    <w:rsid w:val="00BE3A09"/>
    <w:rsid w:val="00BE3B25"/>
    <w:rsid w:val="00BE3B41"/>
    <w:rsid w:val="00BE3B46"/>
    <w:rsid w:val="00BE3BD5"/>
    <w:rsid w:val="00BE3D8A"/>
    <w:rsid w:val="00BE3E09"/>
    <w:rsid w:val="00BE3ECA"/>
    <w:rsid w:val="00BE3F0A"/>
    <w:rsid w:val="00BE4166"/>
    <w:rsid w:val="00BE426F"/>
    <w:rsid w:val="00BE4393"/>
    <w:rsid w:val="00BE45C9"/>
    <w:rsid w:val="00BE4898"/>
    <w:rsid w:val="00BE4957"/>
    <w:rsid w:val="00BE49DA"/>
    <w:rsid w:val="00BE4A3B"/>
    <w:rsid w:val="00BE4A40"/>
    <w:rsid w:val="00BE4A8D"/>
    <w:rsid w:val="00BE4B3E"/>
    <w:rsid w:val="00BE4B71"/>
    <w:rsid w:val="00BE4BA2"/>
    <w:rsid w:val="00BE50D7"/>
    <w:rsid w:val="00BE52F2"/>
    <w:rsid w:val="00BE54D6"/>
    <w:rsid w:val="00BE55D8"/>
    <w:rsid w:val="00BE55F5"/>
    <w:rsid w:val="00BE5840"/>
    <w:rsid w:val="00BE596A"/>
    <w:rsid w:val="00BE5A72"/>
    <w:rsid w:val="00BE5B4D"/>
    <w:rsid w:val="00BE5CA9"/>
    <w:rsid w:val="00BE5D9C"/>
    <w:rsid w:val="00BE5E91"/>
    <w:rsid w:val="00BE5EDA"/>
    <w:rsid w:val="00BE6184"/>
    <w:rsid w:val="00BE627F"/>
    <w:rsid w:val="00BE6290"/>
    <w:rsid w:val="00BE6553"/>
    <w:rsid w:val="00BE6615"/>
    <w:rsid w:val="00BE6979"/>
    <w:rsid w:val="00BE6C2A"/>
    <w:rsid w:val="00BE6C98"/>
    <w:rsid w:val="00BE6E22"/>
    <w:rsid w:val="00BE6FB5"/>
    <w:rsid w:val="00BE7298"/>
    <w:rsid w:val="00BE72E6"/>
    <w:rsid w:val="00BE72EF"/>
    <w:rsid w:val="00BE73E8"/>
    <w:rsid w:val="00BE73F1"/>
    <w:rsid w:val="00BE74AF"/>
    <w:rsid w:val="00BE7675"/>
    <w:rsid w:val="00BE78F3"/>
    <w:rsid w:val="00BE7976"/>
    <w:rsid w:val="00BE79DF"/>
    <w:rsid w:val="00BE7B2C"/>
    <w:rsid w:val="00BE7EA5"/>
    <w:rsid w:val="00BE7F04"/>
    <w:rsid w:val="00BE7F66"/>
    <w:rsid w:val="00BF00FB"/>
    <w:rsid w:val="00BF02B7"/>
    <w:rsid w:val="00BF0355"/>
    <w:rsid w:val="00BF03ED"/>
    <w:rsid w:val="00BF048F"/>
    <w:rsid w:val="00BF0625"/>
    <w:rsid w:val="00BF0651"/>
    <w:rsid w:val="00BF0746"/>
    <w:rsid w:val="00BF07BC"/>
    <w:rsid w:val="00BF07C3"/>
    <w:rsid w:val="00BF0803"/>
    <w:rsid w:val="00BF091D"/>
    <w:rsid w:val="00BF0AD7"/>
    <w:rsid w:val="00BF0C5F"/>
    <w:rsid w:val="00BF122F"/>
    <w:rsid w:val="00BF14B8"/>
    <w:rsid w:val="00BF15B2"/>
    <w:rsid w:val="00BF1962"/>
    <w:rsid w:val="00BF1BBD"/>
    <w:rsid w:val="00BF1C07"/>
    <w:rsid w:val="00BF1CF5"/>
    <w:rsid w:val="00BF1DA4"/>
    <w:rsid w:val="00BF20BD"/>
    <w:rsid w:val="00BF2111"/>
    <w:rsid w:val="00BF21ED"/>
    <w:rsid w:val="00BF2312"/>
    <w:rsid w:val="00BF259B"/>
    <w:rsid w:val="00BF26BC"/>
    <w:rsid w:val="00BF2758"/>
    <w:rsid w:val="00BF277C"/>
    <w:rsid w:val="00BF27C3"/>
    <w:rsid w:val="00BF289B"/>
    <w:rsid w:val="00BF28C5"/>
    <w:rsid w:val="00BF2900"/>
    <w:rsid w:val="00BF2B47"/>
    <w:rsid w:val="00BF2B92"/>
    <w:rsid w:val="00BF2BCC"/>
    <w:rsid w:val="00BF2C2C"/>
    <w:rsid w:val="00BF2CD0"/>
    <w:rsid w:val="00BF2D5B"/>
    <w:rsid w:val="00BF2DDD"/>
    <w:rsid w:val="00BF2FAD"/>
    <w:rsid w:val="00BF2FBC"/>
    <w:rsid w:val="00BF2FD2"/>
    <w:rsid w:val="00BF3294"/>
    <w:rsid w:val="00BF3670"/>
    <w:rsid w:val="00BF382E"/>
    <w:rsid w:val="00BF3B46"/>
    <w:rsid w:val="00BF3D2F"/>
    <w:rsid w:val="00BF3DD0"/>
    <w:rsid w:val="00BF3F52"/>
    <w:rsid w:val="00BF403A"/>
    <w:rsid w:val="00BF40CB"/>
    <w:rsid w:val="00BF4282"/>
    <w:rsid w:val="00BF4334"/>
    <w:rsid w:val="00BF438A"/>
    <w:rsid w:val="00BF4449"/>
    <w:rsid w:val="00BF466E"/>
    <w:rsid w:val="00BF4843"/>
    <w:rsid w:val="00BF4863"/>
    <w:rsid w:val="00BF491E"/>
    <w:rsid w:val="00BF49A0"/>
    <w:rsid w:val="00BF4B21"/>
    <w:rsid w:val="00BF4D8F"/>
    <w:rsid w:val="00BF4DB4"/>
    <w:rsid w:val="00BF52A7"/>
    <w:rsid w:val="00BF52E7"/>
    <w:rsid w:val="00BF53D1"/>
    <w:rsid w:val="00BF5736"/>
    <w:rsid w:val="00BF5872"/>
    <w:rsid w:val="00BF589E"/>
    <w:rsid w:val="00BF58A0"/>
    <w:rsid w:val="00BF5D6A"/>
    <w:rsid w:val="00BF61C8"/>
    <w:rsid w:val="00BF6728"/>
    <w:rsid w:val="00BF67C3"/>
    <w:rsid w:val="00BF67DE"/>
    <w:rsid w:val="00BF6826"/>
    <w:rsid w:val="00BF6CCB"/>
    <w:rsid w:val="00BF6D22"/>
    <w:rsid w:val="00BF72A0"/>
    <w:rsid w:val="00BF72D8"/>
    <w:rsid w:val="00BF7360"/>
    <w:rsid w:val="00BF756A"/>
    <w:rsid w:val="00BF758C"/>
    <w:rsid w:val="00BF780E"/>
    <w:rsid w:val="00BF79DF"/>
    <w:rsid w:val="00BF7E7A"/>
    <w:rsid w:val="00BF7F39"/>
    <w:rsid w:val="00C00004"/>
    <w:rsid w:val="00C0006A"/>
    <w:rsid w:val="00C000E4"/>
    <w:rsid w:val="00C001FA"/>
    <w:rsid w:val="00C00468"/>
    <w:rsid w:val="00C00478"/>
    <w:rsid w:val="00C005A9"/>
    <w:rsid w:val="00C005C1"/>
    <w:rsid w:val="00C007E7"/>
    <w:rsid w:val="00C00942"/>
    <w:rsid w:val="00C00A75"/>
    <w:rsid w:val="00C00D21"/>
    <w:rsid w:val="00C00D9C"/>
    <w:rsid w:val="00C00E37"/>
    <w:rsid w:val="00C00EFA"/>
    <w:rsid w:val="00C0108D"/>
    <w:rsid w:val="00C010E1"/>
    <w:rsid w:val="00C011A8"/>
    <w:rsid w:val="00C013DB"/>
    <w:rsid w:val="00C013E1"/>
    <w:rsid w:val="00C015F7"/>
    <w:rsid w:val="00C01607"/>
    <w:rsid w:val="00C0160B"/>
    <w:rsid w:val="00C016D7"/>
    <w:rsid w:val="00C0172B"/>
    <w:rsid w:val="00C01972"/>
    <w:rsid w:val="00C01AA1"/>
    <w:rsid w:val="00C01AAD"/>
    <w:rsid w:val="00C01BE6"/>
    <w:rsid w:val="00C01BED"/>
    <w:rsid w:val="00C01C2E"/>
    <w:rsid w:val="00C01DCC"/>
    <w:rsid w:val="00C01EC3"/>
    <w:rsid w:val="00C021A5"/>
    <w:rsid w:val="00C023FA"/>
    <w:rsid w:val="00C024A1"/>
    <w:rsid w:val="00C0277C"/>
    <w:rsid w:val="00C02787"/>
    <w:rsid w:val="00C02B33"/>
    <w:rsid w:val="00C02BC0"/>
    <w:rsid w:val="00C02CC5"/>
    <w:rsid w:val="00C02F65"/>
    <w:rsid w:val="00C02FB7"/>
    <w:rsid w:val="00C02FC5"/>
    <w:rsid w:val="00C02FF1"/>
    <w:rsid w:val="00C03226"/>
    <w:rsid w:val="00C03325"/>
    <w:rsid w:val="00C03626"/>
    <w:rsid w:val="00C0368D"/>
    <w:rsid w:val="00C036C0"/>
    <w:rsid w:val="00C0370C"/>
    <w:rsid w:val="00C0405E"/>
    <w:rsid w:val="00C04108"/>
    <w:rsid w:val="00C04190"/>
    <w:rsid w:val="00C041DA"/>
    <w:rsid w:val="00C044DE"/>
    <w:rsid w:val="00C04649"/>
    <w:rsid w:val="00C046BF"/>
    <w:rsid w:val="00C048EC"/>
    <w:rsid w:val="00C04A18"/>
    <w:rsid w:val="00C04BCA"/>
    <w:rsid w:val="00C04CB2"/>
    <w:rsid w:val="00C04DAE"/>
    <w:rsid w:val="00C04E5C"/>
    <w:rsid w:val="00C050F7"/>
    <w:rsid w:val="00C05346"/>
    <w:rsid w:val="00C0541D"/>
    <w:rsid w:val="00C05510"/>
    <w:rsid w:val="00C056E9"/>
    <w:rsid w:val="00C0580F"/>
    <w:rsid w:val="00C05955"/>
    <w:rsid w:val="00C059CC"/>
    <w:rsid w:val="00C05CBA"/>
    <w:rsid w:val="00C06580"/>
    <w:rsid w:val="00C06718"/>
    <w:rsid w:val="00C06729"/>
    <w:rsid w:val="00C06AF2"/>
    <w:rsid w:val="00C06BF9"/>
    <w:rsid w:val="00C06CCE"/>
    <w:rsid w:val="00C06D5C"/>
    <w:rsid w:val="00C06D9E"/>
    <w:rsid w:val="00C06F3F"/>
    <w:rsid w:val="00C06FAE"/>
    <w:rsid w:val="00C071DA"/>
    <w:rsid w:val="00C07235"/>
    <w:rsid w:val="00C07321"/>
    <w:rsid w:val="00C073BE"/>
    <w:rsid w:val="00C073FB"/>
    <w:rsid w:val="00C074BA"/>
    <w:rsid w:val="00C07661"/>
    <w:rsid w:val="00C07836"/>
    <w:rsid w:val="00C07A3D"/>
    <w:rsid w:val="00C07B6B"/>
    <w:rsid w:val="00C07F52"/>
    <w:rsid w:val="00C10038"/>
    <w:rsid w:val="00C10677"/>
    <w:rsid w:val="00C107DD"/>
    <w:rsid w:val="00C10B0C"/>
    <w:rsid w:val="00C10E21"/>
    <w:rsid w:val="00C10F29"/>
    <w:rsid w:val="00C10FBD"/>
    <w:rsid w:val="00C112CB"/>
    <w:rsid w:val="00C113C3"/>
    <w:rsid w:val="00C1159F"/>
    <w:rsid w:val="00C11724"/>
    <w:rsid w:val="00C1177D"/>
    <w:rsid w:val="00C117D3"/>
    <w:rsid w:val="00C11947"/>
    <w:rsid w:val="00C11A38"/>
    <w:rsid w:val="00C11A6C"/>
    <w:rsid w:val="00C11B01"/>
    <w:rsid w:val="00C11BA2"/>
    <w:rsid w:val="00C11E95"/>
    <w:rsid w:val="00C11E9A"/>
    <w:rsid w:val="00C12084"/>
    <w:rsid w:val="00C120AB"/>
    <w:rsid w:val="00C12121"/>
    <w:rsid w:val="00C1220A"/>
    <w:rsid w:val="00C123A8"/>
    <w:rsid w:val="00C1251C"/>
    <w:rsid w:val="00C125CA"/>
    <w:rsid w:val="00C12810"/>
    <w:rsid w:val="00C1293B"/>
    <w:rsid w:val="00C12C53"/>
    <w:rsid w:val="00C12C65"/>
    <w:rsid w:val="00C12C7C"/>
    <w:rsid w:val="00C12D05"/>
    <w:rsid w:val="00C12DD2"/>
    <w:rsid w:val="00C12E35"/>
    <w:rsid w:val="00C13418"/>
    <w:rsid w:val="00C13774"/>
    <w:rsid w:val="00C13851"/>
    <w:rsid w:val="00C13A68"/>
    <w:rsid w:val="00C13B6D"/>
    <w:rsid w:val="00C13D10"/>
    <w:rsid w:val="00C13DB9"/>
    <w:rsid w:val="00C142A0"/>
    <w:rsid w:val="00C1441E"/>
    <w:rsid w:val="00C1449E"/>
    <w:rsid w:val="00C144ED"/>
    <w:rsid w:val="00C144F3"/>
    <w:rsid w:val="00C14505"/>
    <w:rsid w:val="00C1450D"/>
    <w:rsid w:val="00C1456F"/>
    <w:rsid w:val="00C14714"/>
    <w:rsid w:val="00C147D8"/>
    <w:rsid w:val="00C148D2"/>
    <w:rsid w:val="00C14A2B"/>
    <w:rsid w:val="00C14A74"/>
    <w:rsid w:val="00C14ADF"/>
    <w:rsid w:val="00C14DB0"/>
    <w:rsid w:val="00C14E03"/>
    <w:rsid w:val="00C14E55"/>
    <w:rsid w:val="00C14EAF"/>
    <w:rsid w:val="00C14F3F"/>
    <w:rsid w:val="00C15188"/>
    <w:rsid w:val="00C151BD"/>
    <w:rsid w:val="00C15464"/>
    <w:rsid w:val="00C154CC"/>
    <w:rsid w:val="00C155E6"/>
    <w:rsid w:val="00C157F2"/>
    <w:rsid w:val="00C15943"/>
    <w:rsid w:val="00C1596D"/>
    <w:rsid w:val="00C15DE0"/>
    <w:rsid w:val="00C15E60"/>
    <w:rsid w:val="00C15E79"/>
    <w:rsid w:val="00C15EB6"/>
    <w:rsid w:val="00C15FA9"/>
    <w:rsid w:val="00C16069"/>
    <w:rsid w:val="00C16092"/>
    <w:rsid w:val="00C16146"/>
    <w:rsid w:val="00C16607"/>
    <w:rsid w:val="00C1662D"/>
    <w:rsid w:val="00C16682"/>
    <w:rsid w:val="00C166AF"/>
    <w:rsid w:val="00C166CF"/>
    <w:rsid w:val="00C16A46"/>
    <w:rsid w:val="00C16B7A"/>
    <w:rsid w:val="00C16E4F"/>
    <w:rsid w:val="00C1741A"/>
    <w:rsid w:val="00C1748E"/>
    <w:rsid w:val="00C17596"/>
    <w:rsid w:val="00C176DE"/>
    <w:rsid w:val="00C17703"/>
    <w:rsid w:val="00C177D8"/>
    <w:rsid w:val="00C17D43"/>
    <w:rsid w:val="00C17D9A"/>
    <w:rsid w:val="00C17ECA"/>
    <w:rsid w:val="00C17F5A"/>
    <w:rsid w:val="00C17F9A"/>
    <w:rsid w:val="00C20065"/>
    <w:rsid w:val="00C2018A"/>
    <w:rsid w:val="00C202B3"/>
    <w:rsid w:val="00C20313"/>
    <w:rsid w:val="00C204DF"/>
    <w:rsid w:val="00C206EA"/>
    <w:rsid w:val="00C207AA"/>
    <w:rsid w:val="00C20817"/>
    <w:rsid w:val="00C20843"/>
    <w:rsid w:val="00C20A1C"/>
    <w:rsid w:val="00C20FD7"/>
    <w:rsid w:val="00C2134D"/>
    <w:rsid w:val="00C2137C"/>
    <w:rsid w:val="00C21385"/>
    <w:rsid w:val="00C21668"/>
    <w:rsid w:val="00C2172A"/>
    <w:rsid w:val="00C217DE"/>
    <w:rsid w:val="00C21AE8"/>
    <w:rsid w:val="00C21B2D"/>
    <w:rsid w:val="00C21B32"/>
    <w:rsid w:val="00C21C6D"/>
    <w:rsid w:val="00C21EE0"/>
    <w:rsid w:val="00C2202A"/>
    <w:rsid w:val="00C2209B"/>
    <w:rsid w:val="00C22201"/>
    <w:rsid w:val="00C22533"/>
    <w:rsid w:val="00C227DA"/>
    <w:rsid w:val="00C227E1"/>
    <w:rsid w:val="00C2283F"/>
    <w:rsid w:val="00C22ABF"/>
    <w:rsid w:val="00C22CB7"/>
    <w:rsid w:val="00C22DCB"/>
    <w:rsid w:val="00C22EA4"/>
    <w:rsid w:val="00C22EEC"/>
    <w:rsid w:val="00C235B7"/>
    <w:rsid w:val="00C23613"/>
    <w:rsid w:val="00C236C2"/>
    <w:rsid w:val="00C236E6"/>
    <w:rsid w:val="00C237FC"/>
    <w:rsid w:val="00C23A7C"/>
    <w:rsid w:val="00C23C1F"/>
    <w:rsid w:val="00C23CE4"/>
    <w:rsid w:val="00C241B4"/>
    <w:rsid w:val="00C24218"/>
    <w:rsid w:val="00C242F9"/>
    <w:rsid w:val="00C24383"/>
    <w:rsid w:val="00C24523"/>
    <w:rsid w:val="00C24667"/>
    <w:rsid w:val="00C24982"/>
    <w:rsid w:val="00C24985"/>
    <w:rsid w:val="00C2499A"/>
    <w:rsid w:val="00C24AC5"/>
    <w:rsid w:val="00C24DDA"/>
    <w:rsid w:val="00C25226"/>
    <w:rsid w:val="00C25247"/>
    <w:rsid w:val="00C2540B"/>
    <w:rsid w:val="00C25624"/>
    <w:rsid w:val="00C25701"/>
    <w:rsid w:val="00C257F3"/>
    <w:rsid w:val="00C2594A"/>
    <w:rsid w:val="00C259C0"/>
    <w:rsid w:val="00C25A17"/>
    <w:rsid w:val="00C25A9E"/>
    <w:rsid w:val="00C25AF0"/>
    <w:rsid w:val="00C25B71"/>
    <w:rsid w:val="00C25CDB"/>
    <w:rsid w:val="00C26722"/>
    <w:rsid w:val="00C268E2"/>
    <w:rsid w:val="00C26BE2"/>
    <w:rsid w:val="00C26C41"/>
    <w:rsid w:val="00C26D01"/>
    <w:rsid w:val="00C26D29"/>
    <w:rsid w:val="00C26DA0"/>
    <w:rsid w:val="00C2705C"/>
    <w:rsid w:val="00C271F8"/>
    <w:rsid w:val="00C273C6"/>
    <w:rsid w:val="00C274C6"/>
    <w:rsid w:val="00C27523"/>
    <w:rsid w:val="00C27529"/>
    <w:rsid w:val="00C27691"/>
    <w:rsid w:val="00C27B0E"/>
    <w:rsid w:val="00C30297"/>
    <w:rsid w:val="00C302A4"/>
    <w:rsid w:val="00C303A3"/>
    <w:rsid w:val="00C304E2"/>
    <w:rsid w:val="00C30550"/>
    <w:rsid w:val="00C3076C"/>
    <w:rsid w:val="00C3077C"/>
    <w:rsid w:val="00C310B1"/>
    <w:rsid w:val="00C3114E"/>
    <w:rsid w:val="00C31192"/>
    <w:rsid w:val="00C31469"/>
    <w:rsid w:val="00C31473"/>
    <w:rsid w:val="00C3168B"/>
    <w:rsid w:val="00C31B45"/>
    <w:rsid w:val="00C31BA9"/>
    <w:rsid w:val="00C31CEB"/>
    <w:rsid w:val="00C31D96"/>
    <w:rsid w:val="00C320F6"/>
    <w:rsid w:val="00C3234A"/>
    <w:rsid w:val="00C3239C"/>
    <w:rsid w:val="00C32980"/>
    <w:rsid w:val="00C32BC6"/>
    <w:rsid w:val="00C32C01"/>
    <w:rsid w:val="00C32FD8"/>
    <w:rsid w:val="00C3312B"/>
    <w:rsid w:val="00C33177"/>
    <w:rsid w:val="00C331D8"/>
    <w:rsid w:val="00C3334D"/>
    <w:rsid w:val="00C33479"/>
    <w:rsid w:val="00C33493"/>
    <w:rsid w:val="00C334C0"/>
    <w:rsid w:val="00C334EA"/>
    <w:rsid w:val="00C33562"/>
    <w:rsid w:val="00C335AA"/>
    <w:rsid w:val="00C335D5"/>
    <w:rsid w:val="00C335FA"/>
    <w:rsid w:val="00C336CC"/>
    <w:rsid w:val="00C33755"/>
    <w:rsid w:val="00C33764"/>
    <w:rsid w:val="00C33939"/>
    <w:rsid w:val="00C33967"/>
    <w:rsid w:val="00C33AAD"/>
    <w:rsid w:val="00C33B12"/>
    <w:rsid w:val="00C33D06"/>
    <w:rsid w:val="00C340A4"/>
    <w:rsid w:val="00C3420C"/>
    <w:rsid w:val="00C34295"/>
    <w:rsid w:val="00C34463"/>
    <w:rsid w:val="00C3459E"/>
    <w:rsid w:val="00C34682"/>
    <w:rsid w:val="00C34778"/>
    <w:rsid w:val="00C34781"/>
    <w:rsid w:val="00C34B34"/>
    <w:rsid w:val="00C34C75"/>
    <w:rsid w:val="00C34CDD"/>
    <w:rsid w:val="00C34E16"/>
    <w:rsid w:val="00C34EC2"/>
    <w:rsid w:val="00C35020"/>
    <w:rsid w:val="00C350CB"/>
    <w:rsid w:val="00C353D6"/>
    <w:rsid w:val="00C354C9"/>
    <w:rsid w:val="00C35558"/>
    <w:rsid w:val="00C35759"/>
    <w:rsid w:val="00C35ACA"/>
    <w:rsid w:val="00C35BC9"/>
    <w:rsid w:val="00C35DCE"/>
    <w:rsid w:val="00C36174"/>
    <w:rsid w:val="00C362DD"/>
    <w:rsid w:val="00C3634F"/>
    <w:rsid w:val="00C363FB"/>
    <w:rsid w:val="00C364C2"/>
    <w:rsid w:val="00C36540"/>
    <w:rsid w:val="00C3654C"/>
    <w:rsid w:val="00C366C7"/>
    <w:rsid w:val="00C36B37"/>
    <w:rsid w:val="00C36F1B"/>
    <w:rsid w:val="00C36FF3"/>
    <w:rsid w:val="00C37384"/>
    <w:rsid w:val="00C373E4"/>
    <w:rsid w:val="00C374D4"/>
    <w:rsid w:val="00C378DF"/>
    <w:rsid w:val="00C37A3E"/>
    <w:rsid w:val="00C37BBC"/>
    <w:rsid w:val="00C37DFB"/>
    <w:rsid w:val="00C402A1"/>
    <w:rsid w:val="00C4050F"/>
    <w:rsid w:val="00C4058A"/>
    <w:rsid w:val="00C405C6"/>
    <w:rsid w:val="00C40641"/>
    <w:rsid w:val="00C406C5"/>
    <w:rsid w:val="00C408A4"/>
    <w:rsid w:val="00C409DB"/>
    <w:rsid w:val="00C40AB3"/>
    <w:rsid w:val="00C40AB7"/>
    <w:rsid w:val="00C40AC6"/>
    <w:rsid w:val="00C40DC9"/>
    <w:rsid w:val="00C40E76"/>
    <w:rsid w:val="00C41241"/>
    <w:rsid w:val="00C41569"/>
    <w:rsid w:val="00C41586"/>
    <w:rsid w:val="00C41638"/>
    <w:rsid w:val="00C417A2"/>
    <w:rsid w:val="00C417B9"/>
    <w:rsid w:val="00C4183B"/>
    <w:rsid w:val="00C4193B"/>
    <w:rsid w:val="00C41986"/>
    <w:rsid w:val="00C4199A"/>
    <w:rsid w:val="00C41AAC"/>
    <w:rsid w:val="00C41C17"/>
    <w:rsid w:val="00C41D51"/>
    <w:rsid w:val="00C41D8A"/>
    <w:rsid w:val="00C41DB4"/>
    <w:rsid w:val="00C41E2F"/>
    <w:rsid w:val="00C41EE0"/>
    <w:rsid w:val="00C41F62"/>
    <w:rsid w:val="00C42020"/>
    <w:rsid w:val="00C420B4"/>
    <w:rsid w:val="00C421D6"/>
    <w:rsid w:val="00C422BA"/>
    <w:rsid w:val="00C4233F"/>
    <w:rsid w:val="00C426F2"/>
    <w:rsid w:val="00C42815"/>
    <w:rsid w:val="00C428A5"/>
    <w:rsid w:val="00C42936"/>
    <w:rsid w:val="00C42A2D"/>
    <w:rsid w:val="00C42BFE"/>
    <w:rsid w:val="00C42FC7"/>
    <w:rsid w:val="00C4303C"/>
    <w:rsid w:val="00C4311F"/>
    <w:rsid w:val="00C4312B"/>
    <w:rsid w:val="00C43247"/>
    <w:rsid w:val="00C43254"/>
    <w:rsid w:val="00C4339A"/>
    <w:rsid w:val="00C435BB"/>
    <w:rsid w:val="00C43618"/>
    <w:rsid w:val="00C436A2"/>
    <w:rsid w:val="00C436B8"/>
    <w:rsid w:val="00C436FA"/>
    <w:rsid w:val="00C43E89"/>
    <w:rsid w:val="00C440DF"/>
    <w:rsid w:val="00C4411C"/>
    <w:rsid w:val="00C44503"/>
    <w:rsid w:val="00C44566"/>
    <w:rsid w:val="00C445EB"/>
    <w:rsid w:val="00C448A4"/>
    <w:rsid w:val="00C44BFA"/>
    <w:rsid w:val="00C4508F"/>
    <w:rsid w:val="00C4547E"/>
    <w:rsid w:val="00C455C3"/>
    <w:rsid w:val="00C456BA"/>
    <w:rsid w:val="00C459AF"/>
    <w:rsid w:val="00C45A68"/>
    <w:rsid w:val="00C45AC2"/>
    <w:rsid w:val="00C45B29"/>
    <w:rsid w:val="00C45C3E"/>
    <w:rsid w:val="00C45C84"/>
    <w:rsid w:val="00C45D98"/>
    <w:rsid w:val="00C45DF8"/>
    <w:rsid w:val="00C45E2F"/>
    <w:rsid w:val="00C45FC9"/>
    <w:rsid w:val="00C45FF8"/>
    <w:rsid w:val="00C46036"/>
    <w:rsid w:val="00C466B5"/>
    <w:rsid w:val="00C46870"/>
    <w:rsid w:val="00C46959"/>
    <w:rsid w:val="00C46A68"/>
    <w:rsid w:val="00C46B9B"/>
    <w:rsid w:val="00C46C2E"/>
    <w:rsid w:val="00C46C98"/>
    <w:rsid w:val="00C46FD3"/>
    <w:rsid w:val="00C47369"/>
    <w:rsid w:val="00C47452"/>
    <w:rsid w:val="00C474D4"/>
    <w:rsid w:val="00C477D0"/>
    <w:rsid w:val="00C478A1"/>
    <w:rsid w:val="00C479A3"/>
    <w:rsid w:val="00C47E43"/>
    <w:rsid w:val="00C502F7"/>
    <w:rsid w:val="00C50354"/>
    <w:rsid w:val="00C503E0"/>
    <w:rsid w:val="00C50427"/>
    <w:rsid w:val="00C50539"/>
    <w:rsid w:val="00C505A4"/>
    <w:rsid w:val="00C50ADA"/>
    <w:rsid w:val="00C50B48"/>
    <w:rsid w:val="00C50B54"/>
    <w:rsid w:val="00C50BF1"/>
    <w:rsid w:val="00C50C7D"/>
    <w:rsid w:val="00C50C8B"/>
    <w:rsid w:val="00C50CB7"/>
    <w:rsid w:val="00C50CBC"/>
    <w:rsid w:val="00C50E76"/>
    <w:rsid w:val="00C50ECA"/>
    <w:rsid w:val="00C50F33"/>
    <w:rsid w:val="00C50FAA"/>
    <w:rsid w:val="00C513D6"/>
    <w:rsid w:val="00C51512"/>
    <w:rsid w:val="00C51914"/>
    <w:rsid w:val="00C51956"/>
    <w:rsid w:val="00C5199B"/>
    <w:rsid w:val="00C519E1"/>
    <w:rsid w:val="00C51E01"/>
    <w:rsid w:val="00C52277"/>
    <w:rsid w:val="00C52576"/>
    <w:rsid w:val="00C525AE"/>
    <w:rsid w:val="00C526D1"/>
    <w:rsid w:val="00C52C13"/>
    <w:rsid w:val="00C52C44"/>
    <w:rsid w:val="00C52DA5"/>
    <w:rsid w:val="00C52DE3"/>
    <w:rsid w:val="00C52FC5"/>
    <w:rsid w:val="00C5305E"/>
    <w:rsid w:val="00C530FF"/>
    <w:rsid w:val="00C531CC"/>
    <w:rsid w:val="00C531DE"/>
    <w:rsid w:val="00C53273"/>
    <w:rsid w:val="00C53314"/>
    <w:rsid w:val="00C53469"/>
    <w:rsid w:val="00C536F6"/>
    <w:rsid w:val="00C537F6"/>
    <w:rsid w:val="00C53A9D"/>
    <w:rsid w:val="00C53AB1"/>
    <w:rsid w:val="00C53B25"/>
    <w:rsid w:val="00C53B32"/>
    <w:rsid w:val="00C53BE1"/>
    <w:rsid w:val="00C54034"/>
    <w:rsid w:val="00C5444F"/>
    <w:rsid w:val="00C54454"/>
    <w:rsid w:val="00C545E5"/>
    <w:rsid w:val="00C54892"/>
    <w:rsid w:val="00C54BDD"/>
    <w:rsid w:val="00C54D98"/>
    <w:rsid w:val="00C54DAC"/>
    <w:rsid w:val="00C54EE2"/>
    <w:rsid w:val="00C54F22"/>
    <w:rsid w:val="00C5509F"/>
    <w:rsid w:val="00C5521A"/>
    <w:rsid w:val="00C55341"/>
    <w:rsid w:val="00C554F6"/>
    <w:rsid w:val="00C555AC"/>
    <w:rsid w:val="00C5567C"/>
    <w:rsid w:val="00C55B66"/>
    <w:rsid w:val="00C55BF7"/>
    <w:rsid w:val="00C55C3A"/>
    <w:rsid w:val="00C55C9E"/>
    <w:rsid w:val="00C55CFB"/>
    <w:rsid w:val="00C55EF5"/>
    <w:rsid w:val="00C5640B"/>
    <w:rsid w:val="00C564F0"/>
    <w:rsid w:val="00C569D0"/>
    <w:rsid w:val="00C56C16"/>
    <w:rsid w:val="00C56C32"/>
    <w:rsid w:val="00C56EFB"/>
    <w:rsid w:val="00C5723F"/>
    <w:rsid w:val="00C572CA"/>
    <w:rsid w:val="00C57368"/>
    <w:rsid w:val="00C57416"/>
    <w:rsid w:val="00C57516"/>
    <w:rsid w:val="00C5778B"/>
    <w:rsid w:val="00C57853"/>
    <w:rsid w:val="00C57962"/>
    <w:rsid w:val="00C57D00"/>
    <w:rsid w:val="00C60123"/>
    <w:rsid w:val="00C601A4"/>
    <w:rsid w:val="00C60568"/>
    <w:rsid w:val="00C60692"/>
    <w:rsid w:val="00C60761"/>
    <w:rsid w:val="00C60869"/>
    <w:rsid w:val="00C60C0F"/>
    <w:rsid w:val="00C60CBB"/>
    <w:rsid w:val="00C60D1B"/>
    <w:rsid w:val="00C60DD5"/>
    <w:rsid w:val="00C61168"/>
    <w:rsid w:val="00C61365"/>
    <w:rsid w:val="00C615E6"/>
    <w:rsid w:val="00C61A7E"/>
    <w:rsid w:val="00C61AF3"/>
    <w:rsid w:val="00C61B0C"/>
    <w:rsid w:val="00C61B10"/>
    <w:rsid w:val="00C61CBD"/>
    <w:rsid w:val="00C61E54"/>
    <w:rsid w:val="00C61E89"/>
    <w:rsid w:val="00C62131"/>
    <w:rsid w:val="00C62350"/>
    <w:rsid w:val="00C62408"/>
    <w:rsid w:val="00C62426"/>
    <w:rsid w:val="00C6257B"/>
    <w:rsid w:val="00C626C7"/>
    <w:rsid w:val="00C62707"/>
    <w:rsid w:val="00C6292C"/>
    <w:rsid w:val="00C62CEC"/>
    <w:rsid w:val="00C6300F"/>
    <w:rsid w:val="00C631D7"/>
    <w:rsid w:val="00C63244"/>
    <w:rsid w:val="00C63364"/>
    <w:rsid w:val="00C63442"/>
    <w:rsid w:val="00C6352A"/>
    <w:rsid w:val="00C63564"/>
    <w:rsid w:val="00C636E1"/>
    <w:rsid w:val="00C63725"/>
    <w:rsid w:val="00C6377E"/>
    <w:rsid w:val="00C63898"/>
    <w:rsid w:val="00C639B3"/>
    <w:rsid w:val="00C63DF8"/>
    <w:rsid w:val="00C641EC"/>
    <w:rsid w:val="00C6434B"/>
    <w:rsid w:val="00C64361"/>
    <w:rsid w:val="00C64537"/>
    <w:rsid w:val="00C645F0"/>
    <w:rsid w:val="00C645F3"/>
    <w:rsid w:val="00C6485E"/>
    <w:rsid w:val="00C64874"/>
    <w:rsid w:val="00C64891"/>
    <w:rsid w:val="00C649B7"/>
    <w:rsid w:val="00C64A1D"/>
    <w:rsid w:val="00C64C43"/>
    <w:rsid w:val="00C64D04"/>
    <w:rsid w:val="00C64E6E"/>
    <w:rsid w:val="00C64FAC"/>
    <w:rsid w:val="00C64FBD"/>
    <w:rsid w:val="00C650D9"/>
    <w:rsid w:val="00C651FE"/>
    <w:rsid w:val="00C65354"/>
    <w:rsid w:val="00C65425"/>
    <w:rsid w:val="00C654C8"/>
    <w:rsid w:val="00C6588C"/>
    <w:rsid w:val="00C65A56"/>
    <w:rsid w:val="00C65B70"/>
    <w:rsid w:val="00C65C18"/>
    <w:rsid w:val="00C65CE1"/>
    <w:rsid w:val="00C65DD8"/>
    <w:rsid w:val="00C65E75"/>
    <w:rsid w:val="00C660D6"/>
    <w:rsid w:val="00C6615E"/>
    <w:rsid w:val="00C661D5"/>
    <w:rsid w:val="00C662A8"/>
    <w:rsid w:val="00C662B5"/>
    <w:rsid w:val="00C663EF"/>
    <w:rsid w:val="00C66679"/>
    <w:rsid w:val="00C66779"/>
    <w:rsid w:val="00C66BC1"/>
    <w:rsid w:val="00C66C81"/>
    <w:rsid w:val="00C66CDE"/>
    <w:rsid w:val="00C66D5F"/>
    <w:rsid w:val="00C6731A"/>
    <w:rsid w:val="00C67406"/>
    <w:rsid w:val="00C6750E"/>
    <w:rsid w:val="00C67698"/>
    <w:rsid w:val="00C676AD"/>
    <w:rsid w:val="00C676F5"/>
    <w:rsid w:val="00C67F4C"/>
    <w:rsid w:val="00C67FBB"/>
    <w:rsid w:val="00C70034"/>
    <w:rsid w:val="00C7009F"/>
    <w:rsid w:val="00C70184"/>
    <w:rsid w:val="00C70483"/>
    <w:rsid w:val="00C7054B"/>
    <w:rsid w:val="00C7059B"/>
    <w:rsid w:val="00C7066D"/>
    <w:rsid w:val="00C70714"/>
    <w:rsid w:val="00C709A6"/>
    <w:rsid w:val="00C709B6"/>
    <w:rsid w:val="00C70AA0"/>
    <w:rsid w:val="00C70B71"/>
    <w:rsid w:val="00C70BAF"/>
    <w:rsid w:val="00C70BE1"/>
    <w:rsid w:val="00C710C0"/>
    <w:rsid w:val="00C7116F"/>
    <w:rsid w:val="00C711A6"/>
    <w:rsid w:val="00C711EE"/>
    <w:rsid w:val="00C711FB"/>
    <w:rsid w:val="00C713ED"/>
    <w:rsid w:val="00C71499"/>
    <w:rsid w:val="00C717CC"/>
    <w:rsid w:val="00C71808"/>
    <w:rsid w:val="00C7182A"/>
    <w:rsid w:val="00C71993"/>
    <w:rsid w:val="00C719CD"/>
    <w:rsid w:val="00C71DCB"/>
    <w:rsid w:val="00C720D0"/>
    <w:rsid w:val="00C72174"/>
    <w:rsid w:val="00C722DB"/>
    <w:rsid w:val="00C72318"/>
    <w:rsid w:val="00C72477"/>
    <w:rsid w:val="00C724E6"/>
    <w:rsid w:val="00C7251D"/>
    <w:rsid w:val="00C7294B"/>
    <w:rsid w:val="00C729B6"/>
    <w:rsid w:val="00C72C68"/>
    <w:rsid w:val="00C73407"/>
    <w:rsid w:val="00C73646"/>
    <w:rsid w:val="00C736CA"/>
    <w:rsid w:val="00C73719"/>
    <w:rsid w:val="00C7378E"/>
    <w:rsid w:val="00C738EF"/>
    <w:rsid w:val="00C73A7E"/>
    <w:rsid w:val="00C73AA8"/>
    <w:rsid w:val="00C73CA8"/>
    <w:rsid w:val="00C73D7C"/>
    <w:rsid w:val="00C73DE9"/>
    <w:rsid w:val="00C74048"/>
    <w:rsid w:val="00C74329"/>
    <w:rsid w:val="00C743F7"/>
    <w:rsid w:val="00C743FB"/>
    <w:rsid w:val="00C746AA"/>
    <w:rsid w:val="00C747A5"/>
    <w:rsid w:val="00C748AF"/>
    <w:rsid w:val="00C74925"/>
    <w:rsid w:val="00C74A7F"/>
    <w:rsid w:val="00C74AA3"/>
    <w:rsid w:val="00C74BCA"/>
    <w:rsid w:val="00C74C94"/>
    <w:rsid w:val="00C74F81"/>
    <w:rsid w:val="00C74F9E"/>
    <w:rsid w:val="00C74FAD"/>
    <w:rsid w:val="00C7509E"/>
    <w:rsid w:val="00C7511E"/>
    <w:rsid w:val="00C75149"/>
    <w:rsid w:val="00C75233"/>
    <w:rsid w:val="00C7524C"/>
    <w:rsid w:val="00C7527F"/>
    <w:rsid w:val="00C752D8"/>
    <w:rsid w:val="00C75520"/>
    <w:rsid w:val="00C756B9"/>
    <w:rsid w:val="00C756FE"/>
    <w:rsid w:val="00C75A5E"/>
    <w:rsid w:val="00C75B23"/>
    <w:rsid w:val="00C75D05"/>
    <w:rsid w:val="00C7615E"/>
    <w:rsid w:val="00C7632D"/>
    <w:rsid w:val="00C76355"/>
    <w:rsid w:val="00C76764"/>
    <w:rsid w:val="00C767E5"/>
    <w:rsid w:val="00C76838"/>
    <w:rsid w:val="00C768FF"/>
    <w:rsid w:val="00C76A15"/>
    <w:rsid w:val="00C76AB0"/>
    <w:rsid w:val="00C77019"/>
    <w:rsid w:val="00C77312"/>
    <w:rsid w:val="00C77320"/>
    <w:rsid w:val="00C77446"/>
    <w:rsid w:val="00C774D0"/>
    <w:rsid w:val="00C77621"/>
    <w:rsid w:val="00C777C2"/>
    <w:rsid w:val="00C77932"/>
    <w:rsid w:val="00C77934"/>
    <w:rsid w:val="00C77E69"/>
    <w:rsid w:val="00C77E6E"/>
    <w:rsid w:val="00C8018B"/>
    <w:rsid w:val="00C8021A"/>
    <w:rsid w:val="00C80282"/>
    <w:rsid w:val="00C80399"/>
    <w:rsid w:val="00C8078F"/>
    <w:rsid w:val="00C80DA8"/>
    <w:rsid w:val="00C80FEF"/>
    <w:rsid w:val="00C8110D"/>
    <w:rsid w:val="00C8119E"/>
    <w:rsid w:val="00C81223"/>
    <w:rsid w:val="00C81521"/>
    <w:rsid w:val="00C8161F"/>
    <w:rsid w:val="00C8174C"/>
    <w:rsid w:val="00C8198E"/>
    <w:rsid w:val="00C81BC4"/>
    <w:rsid w:val="00C81C78"/>
    <w:rsid w:val="00C82081"/>
    <w:rsid w:val="00C8211C"/>
    <w:rsid w:val="00C821AE"/>
    <w:rsid w:val="00C82280"/>
    <w:rsid w:val="00C82543"/>
    <w:rsid w:val="00C82578"/>
    <w:rsid w:val="00C827FB"/>
    <w:rsid w:val="00C82E8F"/>
    <w:rsid w:val="00C82EFA"/>
    <w:rsid w:val="00C82FF0"/>
    <w:rsid w:val="00C833BE"/>
    <w:rsid w:val="00C839EF"/>
    <w:rsid w:val="00C83A6F"/>
    <w:rsid w:val="00C83B65"/>
    <w:rsid w:val="00C83CCB"/>
    <w:rsid w:val="00C840C7"/>
    <w:rsid w:val="00C84165"/>
    <w:rsid w:val="00C8419C"/>
    <w:rsid w:val="00C8439F"/>
    <w:rsid w:val="00C843E8"/>
    <w:rsid w:val="00C84409"/>
    <w:rsid w:val="00C84499"/>
    <w:rsid w:val="00C84836"/>
    <w:rsid w:val="00C84941"/>
    <w:rsid w:val="00C84994"/>
    <w:rsid w:val="00C84998"/>
    <w:rsid w:val="00C84B0F"/>
    <w:rsid w:val="00C84D75"/>
    <w:rsid w:val="00C84DD6"/>
    <w:rsid w:val="00C84FA2"/>
    <w:rsid w:val="00C85100"/>
    <w:rsid w:val="00C85314"/>
    <w:rsid w:val="00C85664"/>
    <w:rsid w:val="00C85802"/>
    <w:rsid w:val="00C858A7"/>
    <w:rsid w:val="00C858F9"/>
    <w:rsid w:val="00C859F0"/>
    <w:rsid w:val="00C85EE1"/>
    <w:rsid w:val="00C86211"/>
    <w:rsid w:val="00C8626C"/>
    <w:rsid w:val="00C86308"/>
    <w:rsid w:val="00C86400"/>
    <w:rsid w:val="00C866B0"/>
    <w:rsid w:val="00C869C7"/>
    <w:rsid w:val="00C86CAB"/>
    <w:rsid w:val="00C86CCF"/>
    <w:rsid w:val="00C86CED"/>
    <w:rsid w:val="00C86D63"/>
    <w:rsid w:val="00C86DB8"/>
    <w:rsid w:val="00C87090"/>
    <w:rsid w:val="00C87409"/>
    <w:rsid w:val="00C87419"/>
    <w:rsid w:val="00C874E3"/>
    <w:rsid w:val="00C87501"/>
    <w:rsid w:val="00C8752A"/>
    <w:rsid w:val="00C875C7"/>
    <w:rsid w:val="00C8762A"/>
    <w:rsid w:val="00C87758"/>
    <w:rsid w:val="00C878C5"/>
    <w:rsid w:val="00C87A12"/>
    <w:rsid w:val="00C87A6F"/>
    <w:rsid w:val="00C87C42"/>
    <w:rsid w:val="00C87EC0"/>
    <w:rsid w:val="00C9004E"/>
    <w:rsid w:val="00C9007B"/>
    <w:rsid w:val="00C902CF"/>
    <w:rsid w:val="00C90428"/>
    <w:rsid w:val="00C90443"/>
    <w:rsid w:val="00C90689"/>
    <w:rsid w:val="00C90888"/>
    <w:rsid w:val="00C9093A"/>
    <w:rsid w:val="00C909B8"/>
    <w:rsid w:val="00C90AC7"/>
    <w:rsid w:val="00C91000"/>
    <w:rsid w:val="00C9117A"/>
    <w:rsid w:val="00C911E3"/>
    <w:rsid w:val="00C914C1"/>
    <w:rsid w:val="00C914D5"/>
    <w:rsid w:val="00C917A7"/>
    <w:rsid w:val="00C917DE"/>
    <w:rsid w:val="00C9184D"/>
    <w:rsid w:val="00C91857"/>
    <w:rsid w:val="00C918F6"/>
    <w:rsid w:val="00C91CB4"/>
    <w:rsid w:val="00C91D49"/>
    <w:rsid w:val="00C91E41"/>
    <w:rsid w:val="00C91F29"/>
    <w:rsid w:val="00C9222D"/>
    <w:rsid w:val="00C9222F"/>
    <w:rsid w:val="00C9246A"/>
    <w:rsid w:val="00C92669"/>
    <w:rsid w:val="00C92833"/>
    <w:rsid w:val="00C92992"/>
    <w:rsid w:val="00C92B5A"/>
    <w:rsid w:val="00C92C39"/>
    <w:rsid w:val="00C92CC4"/>
    <w:rsid w:val="00C92CED"/>
    <w:rsid w:val="00C92D94"/>
    <w:rsid w:val="00C93285"/>
    <w:rsid w:val="00C934F5"/>
    <w:rsid w:val="00C93648"/>
    <w:rsid w:val="00C939E5"/>
    <w:rsid w:val="00C93BF5"/>
    <w:rsid w:val="00C93C3C"/>
    <w:rsid w:val="00C93D12"/>
    <w:rsid w:val="00C9408E"/>
    <w:rsid w:val="00C94488"/>
    <w:rsid w:val="00C94698"/>
    <w:rsid w:val="00C947F9"/>
    <w:rsid w:val="00C94870"/>
    <w:rsid w:val="00C949F9"/>
    <w:rsid w:val="00C94AC2"/>
    <w:rsid w:val="00C94BCA"/>
    <w:rsid w:val="00C94C43"/>
    <w:rsid w:val="00C94D14"/>
    <w:rsid w:val="00C94E3B"/>
    <w:rsid w:val="00C94E6D"/>
    <w:rsid w:val="00C950E4"/>
    <w:rsid w:val="00C9527E"/>
    <w:rsid w:val="00C95408"/>
    <w:rsid w:val="00C95672"/>
    <w:rsid w:val="00C9572B"/>
    <w:rsid w:val="00C95AC3"/>
    <w:rsid w:val="00C95E94"/>
    <w:rsid w:val="00C95F4A"/>
    <w:rsid w:val="00C95F8A"/>
    <w:rsid w:val="00C9611E"/>
    <w:rsid w:val="00C961C8"/>
    <w:rsid w:val="00C9622B"/>
    <w:rsid w:val="00C962E9"/>
    <w:rsid w:val="00C96334"/>
    <w:rsid w:val="00C96402"/>
    <w:rsid w:val="00C96468"/>
    <w:rsid w:val="00C964E0"/>
    <w:rsid w:val="00C96656"/>
    <w:rsid w:val="00C96991"/>
    <w:rsid w:val="00C969F8"/>
    <w:rsid w:val="00C96A00"/>
    <w:rsid w:val="00C96AF8"/>
    <w:rsid w:val="00C96AF9"/>
    <w:rsid w:val="00C96C8D"/>
    <w:rsid w:val="00C96E17"/>
    <w:rsid w:val="00C96FD3"/>
    <w:rsid w:val="00C970BB"/>
    <w:rsid w:val="00C970DB"/>
    <w:rsid w:val="00C97285"/>
    <w:rsid w:val="00C975C9"/>
    <w:rsid w:val="00C97624"/>
    <w:rsid w:val="00C97809"/>
    <w:rsid w:val="00C97883"/>
    <w:rsid w:val="00C97902"/>
    <w:rsid w:val="00C97A69"/>
    <w:rsid w:val="00C97AB7"/>
    <w:rsid w:val="00C97B09"/>
    <w:rsid w:val="00C97CBC"/>
    <w:rsid w:val="00C97D00"/>
    <w:rsid w:val="00C97D3B"/>
    <w:rsid w:val="00C97EBD"/>
    <w:rsid w:val="00CA005F"/>
    <w:rsid w:val="00CA0116"/>
    <w:rsid w:val="00CA01F2"/>
    <w:rsid w:val="00CA031D"/>
    <w:rsid w:val="00CA04DA"/>
    <w:rsid w:val="00CA0670"/>
    <w:rsid w:val="00CA06A3"/>
    <w:rsid w:val="00CA074B"/>
    <w:rsid w:val="00CA077E"/>
    <w:rsid w:val="00CA08CA"/>
    <w:rsid w:val="00CA0930"/>
    <w:rsid w:val="00CA09E3"/>
    <w:rsid w:val="00CA0C2C"/>
    <w:rsid w:val="00CA0C41"/>
    <w:rsid w:val="00CA0D6D"/>
    <w:rsid w:val="00CA0E8C"/>
    <w:rsid w:val="00CA1113"/>
    <w:rsid w:val="00CA11E7"/>
    <w:rsid w:val="00CA127D"/>
    <w:rsid w:val="00CA1337"/>
    <w:rsid w:val="00CA1645"/>
    <w:rsid w:val="00CA16D8"/>
    <w:rsid w:val="00CA1706"/>
    <w:rsid w:val="00CA1838"/>
    <w:rsid w:val="00CA1B29"/>
    <w:rsid w:val="00CA1C4D"/>
    <w:rsid w:val="00CA1C77"/>
    <w:rsid w:val="00CA1F02"/>
    <w:rsid w:val="00CA211E"/>
    <w:rsid w:val="00CA2406"/>
    <w:rsid w:val="00CA24EE"/>
    <w:rsid w:val="00CA26A1"/>
    <w:rsid w:val="00CA26EF"/>
    <w:rsid w:val="00CA270B"/>
    <w:rsid w:val="00CA270E"/>
    <w:rsid w:val="00CA277C"/>
    <w:rsid w:val="00CA27FA"/>
    <w:rsid w:val="00CA2990"/>
    <w:rsid w:val="00CA2A27"/>
    <w:rsid w:val="00CA2BBC"/>
    <w:rsid w:val="00CA2BD7"/>
    <w:rsid w:val="00CA2C36"/>
    <w:rsid w:val="00CA2C85"/>
    <w:rsid w:val="00CA2CD5"/>
    <w:rsid w:val="00CA2D19"/>
    <w:rsid w:val="00CA2E74"/>
    <w:rsid w:val="00CA31FA"/>
    <w:rsid w:val="00CA3221"/>
    <w:rsid w:val="00CA3320"/>
    <w:rsid w:val="00CA33AD"/>
    <w:rsid w:val="00CA384E"/>
    <w:rsid w:val="00CA38AE"/>
    <w:rsid w:val="00CA3937"/>
    <w:rsid w:val="00CA3B07"/>
    <w:rsid w:val="00CA3B98"/>
    <w:rsid w:val="00CA3D77"/>
    <w:rsid w:val="00CA43E6"/>
    <w:rsid w:val="00CA4453"/>
    <w:rsid w:val="00CA45CF"/>
    <w:rsid w:val="00CA461E"/>
    <w:rsid w:val="00CA4AAC"/>
    <w:rsid w:val="00CA4B20"/>
    <w:rsid w:val="00CA4B6F"/>
    <w:rsid w:val="00CA4BC0"/>
    <w:rsid w:val="00CA4E88"/>
    <w:rsid w:val="00CA5118"/>
    <w:rsid w:val="00CA51E5"/>
    <w:rsid w:val="00CA5290"/>
    <w:rsid w:val="00CA537F"/>
    <w:rsid w:val="00CA5398"/>
    <w:rsid w:val="00CA55A5"/>
    <w:rsid w:val="00CA56A6"/>
    <w:rsid w:val="00CA578D"/>
    <w:rsid w:val="00CA584B"/>
    <w:rsid w:val="00CA590B"/>
    <w:rsid w:val="00CA5B62"/>
    <w:rsid w:val="00CA5C6F"/>
    <w:rsid w:val="00CA5CA8"/>
    <w:rsid w:val="00CA5DE3"/>
    <w:rsid w:val="00CA5F22"/>
    <w:rsid w:val="00CA5F31"/>
    <w:rsid w:val="00CA5F8E"/>
    <w:rsid w:val="00CA6083"/>
    <w:rsid w:val="00CA6347"/>
    <w:rsid w:val="00CA6519"/>
    <w:rsid w:val="00CA6578"/>
    <w:rsid w:val="00CA667C"/>
    <w:rsid w:val="00CA678B"/>
    <w:rsid w:val="00CA678C"/>
    <w:rsid w:val="00CA67DE"/>
    <w:rsid w:val="00CA68C4"/>
    <w:rsid w:val="00CA6ABE"/>
    <w:rsid w:val="00CA70A0"/>
    <w:rsid w:val="00CA71B6"/>
    <w:rsid w:val="00CA71BC"/>
    <w:rsid w:val="00CA7279"/>
    <w:rsid w:val="00CA72A0"/>
    <w:rsid w:val="00CA7458"/>
    <w:rsid w:val="00CA7717"/>
    <w:rsid w:val="00CA7721"/>
    <w:rsid w:val="00CA7832"/>
    <w:rsid w:val="00CA79DA"/>
    <w:rsid w:val="00CA7AC5"/>
    <w:rsid w:val="00CB0157"/>
    <w:rsid w:val="00CB0180"/>
    <w:rsid w:val="00CB01A5"/>
    <w:rsid w:val="00CB02B6"/>
    <w:rsid w:val="00CB09B5"/>
    <w:rsid w:val="00CB10D6"/>
    <w:rsid w:val="00CB1227"/>
    <w:rsid w:val="00CB14A4"/>
    <w:rsid w:val="00CB15A0"/>
    <w:rsid w:val="00CB172D"/>
    <w:rsid w:val="00CB17A2"/>
    <w:rsid w:val="00CB23ED"/>
    <w:rsid w:val="00CB23F1"/>
    <w:rsid w:val="00CB247B"/>
    <w:rsid w:val="00CB249B"/>
    <w:rsid w:val="00CB24B3"/>
    <w:rsid w:val="00CB252C"/>
    <w:rsid w:val="00CB2533"/>
    <w:rsid w:val="00CB257F"/>
    <w:rsid w:val="00CB2632"/>
    <w:rsid w:val="00CB2677"/>
    <w:rsid w:val="00CB27AA"/>
    <w:rsid w:val="00CB28E9"/>
    <w:rsid w:val="00CB29C6"/>
    <w:rsid w:val="00CB2A43"/>
    <w:rsid w:val="00CB2A5C"/>
    <w:rsid w:val="00CB2B28"/>
    <w:rsid w:val="00CB2C17"/>
    <w:rsid w:val="00CB3253"/>
    <w:rsid w:val="00CB346E"/>
    <w:rsid w:val="00CB3550"/>
    <w:rsid w:val="00CB3555"/>
    <w:rsid w:val="00CB3730"/>
    <w:rsid w:val="00CB3B27"/>
    <w:rsid w:val="00CB3B45"/>
    <w:rsid w:val="00CB3C5E"/>
    <w:rsid w:val="00CB408C"/>
    <w:rsid w:val="00CB44E5"/>
    <w:rsid w:val="00CB49C2"/>
    <w:rsid w:val="00CB49D1"/>
    <w:rsid w:val="00CB4BD3"/>
    <w:rsid w:val="00CB4BEB"/>
    <w:rsid w:val="00CB50A7"/>
    <w:rsid w:val="00CB511C"/>
    <w:rsid w:val="00CB5205"/>
    <w:rsid w:val="00CB529E"/>
    <w:rsid w:val="00CB541B"/>
    <w:rsid w:val="00CB54FC"/>
    <w:rsid w:val="00CB55B7"/>
    <w:rsid w:val="00CB5691"/>
    <w:rsid w:val="00CB56A1"/>
    <w:rsid w:val="00CB5A05"/>
    <w:rsid w:val="00CB5BFD"/>
    <w:rsid w:val="00CB5CBD"/>
    <w:rsid w:val="00CB5CBF"/>
    <w:rsid w:val="00CB5E9C"/>
    <w:rsid w:val="00CB5FD4"/>
    <w:rsid w:val="00CB612E"/>
    <w:rsid w:val="00CB61CF"/>
    <w:rsid w:val="00CB6426"/>
    <w:rsid w:val="00CB657C"/>
    <w:rsid w:val="00CB657D"/>
    <w:rsid w:val="00CB66C4"/>
    <w:rsid w:val="00CB68A7"/>
    <w:rsid w:val="00CB68EF"/>
    <w:rsid w:val="00CB6999"/>
    <w:rsid w:val="00CB6CC6"/>
    <w:rsid w:val="00CB6EC2"/>
    <w:rsid w:val="00CB6FD3"/>
    <w:rsid w:val="00CB7033"/>
    <w:rsid w:val="00CB719E"/>
    <w:rsid w:val="00CB741C"/>
    <w:rsid w:val="00CB7423"/>
    <w:rsid w:val="00CB7549"/>
    <w:rsid w:val="00CB75DB"/>
    <w:rsid w:val="00CB761D"/>
    <w:rsid w:val="00CB76CC"/>
    <w:rsid w:val="00CB771B"/>
    <w:rsid w:val="00CB7C25"/>
    <w:rsid w:val="00CB7F6D"/>
    <w:rsid w:val="00CC0042"/>
    <w:rsid w:val="00CC0054"/>
    <w:rsid w:val="00CC0155"/>
    <w:rsid w:val="00CC020C"/>
    <w:rsid w:val="00CC0478"/>
    <w:rsid w:val="00CC0525"/>
    <w:rsid w:val="00CC058D"/>
    <w:rsid w:val="00CC05C7"/>
    <w:rsid w:val="00CC0B03"/>
    <w:rsid w:val="00CC0C7D"/>
    <w:rsid w:val="00CC0F58"/>
    <w:rsid w:val="00CC1010"/>
    <w:rsid w:val="00CC11F6"/>
    <w:rsid w:val="00CC135E"/>
    <w:rsid w:val="00CC1452"/>
    <w:rsid w:val="00CC170B"/>
    <w:rsid w:val="00CC1938"/>
    <w:rsid w:val="00CC1B69"/>
    <w:rsid w:val="00CC1C7D"/>
    <w:rsid w:val="00CC1D2F"/>
    <w:rsid w:val="00CC1EC9"/>
    <w:rsid w:val="00CC1F5B"/>
    <w:rsid w:val="00CC216C"/>
    <w:rsid w:val="00CC22CF"/>
    <w:rsid w:val="00CC2385"/>
    <w:rsid w:val="00CC24ED"/>
    <w:rsid w:val="00CC29D9"/>
    <w:rsid w:val="00CC2A4C"/>
    <w:rsid w:val="00CC2F2F"/>
    <w:rsid w:val="00CC352B"/>
    <w:rsid w:val="00CC35DA"/>
    <w:rsid w:val="00CC35E4"/>
    <w:rsid w:val="00CC3652"/>
    <w:rsid w:val="00CC3688"/>
    <w:rsid w:val="00CC369F"/>
    <w:rsid w:val="00CC371B"/>
    <w:rsid w:val="00CC3726"/>
    <w:rsid w:val="00CC3827"/>
    <w:rsid w:val="00CC38AC"/>
    <w:rsid w:val="00CC3A9A"/>
    <w:rsid w:val="00CC3D23"/>
    <w:rsid w:val="00CC3D6B"/>
    <w:rsid w:val="00CC3E9B"/>
    <w:rsid w:val="00CC422F"/>
    <w:rsid w:val="00CC423C"/>
    <w:rsid w:val="00CC4376"/>
    <w:rsid w:val="00CC442D"/>
    <w:rsid w:val="00CC462D"/>
    <w:rsid w:val="00CC4642"/>
    <w:rsid w:val="00CC47DD"/>
    <w:rsid w:val="00CC493D"/>
    <w:rsid w:val="00CC494C"/>
    <w:rsid w:val="00CC4A47"/>
    <w:rsid w:val="00CC4A8D"/>
    <w:rsid w:val="00CC4C83"/>
    <w:rsid w:val="00CC4D34"/>
    <w:rsid w:val="00CC5426"/>
    <w:rsid w:val="00CC54BA"/>
    <w:rsid w:val="00CC559D"/>
    <w:rsid w:val="00CC56C0"/>
    <w:rsid w:val="00CC5A14"/>
    <w:rsid w:val="00CC5AA3"/>
    <w:rsid w:val="00CC5B14"/>
    <w:rsid w:val="00CC5B2E"/>
    <w:rsid w:val="00CC5D5C"/>
    <w:rsid w:val="00CC5E0E"/>
    <w:rsid w:val="00CC5EE7"/>
    <w:rsid w:val="00CC5EF7"/>
    <w:rsid w:val="00CC6298"/>
    <w:rsid w:val="00CC649A"/>
    <w:rsid w:val="00CC6523"/>
    <w:rsid w:val="00CC66F2"/>
    <w:rsid w:val="00CC6777"/>
    <w:rsid w:val="00CC6B0A"/>
    <w:rsid w:val="00CC6B59"/>
    <w:rsid w:val="00CC6CFD"/>
    <w:rsid w:val="00CC6D75"/>
    <w:rsid w:val="00CC6EDC"/>
    <w:rsid w:val="00CC6FAF"/>
    <w:rsid w:val="00CC710E"/>
    <w:rsid w:val="00CC7157"/>
    <w:rsid w:val="00CC71B1"/>
    <w:rsid w:val="00CC773B"/>
    <w:rsid w:val="00CC77FE"/>
    <w:rsid w:val="00CC7A42"/>
    <w:rsid w:val="00CC7D69"/>
    <w:rsid w:val="00CC7F0C"/>
    <w:rsid w:val="00CC7F8B"/>
    <w:rsid w:val="00CD0034"/>
    <w:rsid w:val="00CD0147"/>
    <w:rsid w:val="00CD01DD"/>
    <w:rsid w:val="00CD0509"/>
    <w:rsid w:val="00CD05C9"/>
    <w:rsid w:val="00CD062D"/>
    <w:rsid w:val="00CD06BB"/>
    <w:rsid w:val="00CD0780"/>
    <w:rsid w:val="00CD092C"/>
    <w:rsid w:val="00CD0C13"/>
    <w:rsid w:val="00CD15DA"/>
    <w:rsid w:val="00CD180E"/>
    <w:rsid w:val="00CD18EC"/>
    <w:rsid w:val="00CD1BB6"/>
    <w:rsid w:val="00CD1D5E"/>
    <w:rsid w:val="00CD1E78"/>
    <w:rsid w:val="00CD1F29"/>
    <w:rsid w:val="00CD2294"/>
    <w:rsid w:val="00CD2468"/>
    <w:rsid w:val="00CD24FF"/>
    <w:rsid w:val="00CD2848"/>
    <w:rsid w:val="00CD28F4"/>
    <w:rsid w:val="00CD293C"/>
    <w:rsid w:val="00CD2947"/>
    <w:rsid w:val="00CD2CA4"/>
    <w:rsid w:val="00CD2E9B"/>
    <w:rsid w:val="00CD2EDA"/>
    <w:rsid w:val="00CD30C8"/>
    <w:rsid w:val="00CD30EA"/>
    <w:rsid w:val="00CD3150"/>
    <w:rsid w:val="00CD335B"/>
    <w:rsid w:val="00CD37C6"/>
    <w:rsid w:val="00CD37F3"/>
    <w:rsid w:val="00CD3967"/>
    <w:rsid w:val="00CD3BBC"/>
    <w:rsid w:val="00CD3D24"/>
    <w:rsid w:val="00CD3E1B"/>
    <w:rsid w:val="00CD3E53"/>
    <w:rsid w:val="00CD42AD"/>
    <w:rsid w:val="00CD44E1"/>
    <w:rsid w:val="00CD468A"/>
    <w:rsid w:val="00CD4719"/>
    <w:rsid w:val="00CD502A"/>
    <w:rsid w:val="00CD5092"/>
    <w:rsid w:val="00CD50AE"/>
    <w:rsid w:val="00CD50B5"/>
    <w:rsid w:val="00CD5480"/>
    <w:rsid w:val="00CD5916"/>
    <w:rsid w:val="00CD59FE"/>
    <w:rsid w:val="00CD5C0E"/>
    <w:rsid w:val="00CD5C76"/>
    <w:rsid w:val="00CD5CF4"/>
    <w:rsid w:val="00CD604A"/>
    <w:rsid w:val="00CD6135"/>
    <w:rsid w:val="00CD62C3"/>
    <w:rsid w:val="00CD62FD"/>
    <w:rsid w:val="00CD63B7"/>
    <w:rsid w:val="00CD652C"/>
    <w:rsid w:val="00CD654B"/>
    <w:rsid w:val="00CD65F9"/>
    <w:rsid w:val="00CD68D2"/>
    <w:rsid w:val="00CD6A7C"/>
    <w:rsid w:val="00CD6AFB"/>
    <w:rsid w:val="00CD6BAD"/>
    <w:rsid w:val="00CD70DD"/>
    <w:rsid w:val="00CD720B"/>
    <w:rsid w:val="00CD73BF"/>
    <w:rsid w:val="00CD7499"/>
    <w:rsid w:val="00CD750B"/>
    <w:rsid w:val="00CD76FC"/>
    <w:rsid w:val="00CD781C"/>
    <w:rsid w:val="00CD7820"/>
    <w:rsid w:val="00CD79A7"/>
    <w:rsid w:val="00CD79CD"/>
    <w:rsid w:val="00CD7EFC"/>
    <w:rsid w:val="00CE01E2"/>
    <w:rsid w:val="00CE0398"/>
    <w:rsid w:val="00CE06E3"/>
    <w:rsid w:val="00CE076A"/>
    <w:rsid w:val="00CE07EE"/>
    <w:rsid w:val="00CE07F0"/>
    <w:rsid w:val="00CE0AB8"/>
    <w:rsid w:val="00CE0ADF"/>
    <w:rsid w:val="00CE0EA4"/>
    <w:rsid w:val="00CE0ED2"/>
    <w:rsid w:val="00CE1283"/>
    <w:rsid w:val="00CE1646"/>
    <w:rsid w:val="00CE1714"/>
    <w:rsid w:val="00CE171F"/>
    <w:rsid w:val="00CE1760"/>
    <w:rsid w:val="00CE18D8"/>
    <w:rsid w:val="00CE197E"/>
    <w:rsid w:val="00CE1B35"/>
    <w:rsid w:val="00CE1D21"/>
    <w:rsid w:val="00CE1D72"/>
    <w:rsid w:val="00CE1D91"/>
    <w:rsid w:val="00CE1E0D"/>
    <w:rsid w:val="00CE1F88"/>
    <w:rsid w:val="00CE1FF0"/>
    <w:rsid w:val="00CE220F"/>
    <w:rsid w:val="00CE223E"/>
    <w:rsid w:val="00CE24A6"/>
    <w:rsid w:val="00CE2629"/>
    <w:rsid w:val="00CE2CF5"/>
    <w:rsid w:val="00CE2D31"/>
    <w:rsid w:val="00CE2D68"/>
    <w:rsid w:val="00CE2D88"/>
    <w:rsid w:val="00CE2F1B"/>
    <w:rsid w:val="00CE30C0"/>
    <w:rsid w:val="00CE32B4"/>
    <w:rsid w:val="00CE3429"/>
    <w:rsid w:val="00CE344D"/>
    <w:rsid w:val="00CE355A"/>
    <w:rsid w:val="00CE35C6"/>
    <w:rsid w:val="00CE36BA"/>
    <w:rsid w:val="00CE376D"/>
    <w:rsid w:val="00CE382F"/>
    <w:rsid w:val="00CE3996"/>
    <w:rsid w:val="00CE3AA4"/>
    <w:rsid w:val="00CE3AAE"/>
    <w:rsid w:val="00CE3B79"/>
    <w:rsid w:val="00CE3FF4"/>
    <w:rsid w:val="00CE411A"/>
    <w:rsid w:val="00CE454C"/>
    <w:rsid w:val="00CE47B1"/>
    <w:rsid w:val="00CE4BCE"/>
    <w:rsid w:val="00CE506F"/>
    <w:rsid w:val="00CE5365"/>
    <w:rsid w:val="00CE5501"/>
    <w:rsid w:val="00CE553A"/>
    <w:rsid w:val="00CE5578"/>
    <w:rsid w:val="00CE55CE"/>
    <w:rsid w:val="00CE564D"/>
    <w:rsid w:val="00CE570D"/>
    <w:rsid w:val="00CE5855"/>
    <w:rsid w:val="00CE5909"/>
    <w:rsid w:val="00CE5B44"/>
    <w:rsid w:val="00CE5C11"/>
    <w:rsid w:val="00CE5C3C"/>
    <w:rsid w:val="00CE5CCA"/>
    <w:rsid w:val="00CE5CF3"/>
    <w:rsid w:val="00CE5D28"/>
    <w:rsid w:val="00CE5D3D"/>
    <w:rsid w:val="00CE5E06"/>
    <w:rsid w:val="00CE619C"/>
    <w:rsid w:val="00CE6336"/>
    <w:rsid w:val="00CE6418"/>
    <w:rsid w:val="00CE64B8"/>
    <w:rsid w:val="00CE6714"/>
    <w:rsid w:val="00CE683F"/>
    <w:rsid w:val="00CE6C9B"/>
    <w:rsid w:val="00CE7033"/>
    <w:rsid w:val="00CE7176"/>
    <w:rsid w:val="00CE726B"/>
    <w:rsid w:val="00CE7441"/>
    <w:rsid w:val="00CE7490"/>
    <w:rsid w:val="00CE74F9"/>
    <w:rsid w:val="00CE7568"/>
    <w:rsid w:val="00CE7612"/>
    <w:rsid w:val="00CE7BC4"/>
    <w:rsid w:val="00CE7BFC"/>
    <w:rsid w:val="00CF030E"/>
    <w:rsid w:val="00CF037A"/>
    <w:rsid w:val="00CF03C1"/>
    <w:rsid w:val="00CF040C"/>
    <w:rsid w:val="00CF04CA"/>
    <w:rsid w:val="00CF05C3"/>
    <w:rsid w:val="00CF09CB"/>
    <w:rsid w:val="00CF0A87"/>
    <w:rsid w:val="00CF0B57"/>
    <w:rsid w:val="00CF0C5E"/>
    <w:rsid w:val="00CF0DC9"/>
    <w:rsid w:val="00CF0DDB"/>
    <w:rsid w:val="00CF0EA1"/>
    <w:rsid w:val="00CF0EA3"/>
    <w:rsid w:val="00CF10FD"/>
    <w:rsid w:val="00CF111D"/>
    <w:rsid w:val="00CF117C"/>
    <w:rsid w:val="00CF11BD"/>
    <w:rsid w:val="00CF13B9"/>
    <w:rsid w:val="00CF1717"/>
    <w:rsid w:val="00CF17DE"/>
    <w:rsid w:val="00CF1A72"/>
    <w:rsid w:val="00CF1B25"/>
    <w:rsid w:val="00CF1BB8"/>
    <w:rsid w:val="00CF1F0D"/>
    <w:rsid w:val="00CF1F37"/>
    <w:rsid w:val="00CF2026"/>
    <w:rsid w:val="00CF2101"/>
    <w:rsid w:val="00CF215F"/>
    <w:rsid w:val="00CF221D"/>
    <w:rsid w:val="00CF250E"/>
    <w:rsid w:val="00CF254F"/>
    <w:rsid w:val="00CF258D"/>
    <w:rsid w:val="00CF266A"/>
    <w:rsid w:val="00CF2684"/>
    <w:rsid w:val="00CF26B8"/>
    <w:rsid w:val="00CF26CF"/>
    <w:rsid w:val="00CF27CF"/>
    <w:rsid w:val="00CF2C3A"/>
    <w:rsid w:val="00CF2D0F"/>
    <w:rsid w:val="00CF2E2F"/>
    <w:rsid w:val="00CF2F1A"/>
    <w:rsid w:val="00CF35EC"/>
    <w:rsid w:val="00CF362E"/>
    <w:rsid w:val="00CF38A7"/>
    <w:rsid w:val="00CF3A2E"/>
    <w:rsid w:val="00CF3AB3"/>
    <w:rsid w:val="00CF3F0D"/>
    <w:rsid w:val="00CF4009"/>
    <w:rsid w:val="00CF403A"/>
    <w:rsid w:val="00CF40CD"/>
    <w:rsid w:val="00CF4110"/>
    <w:rsid w:val="00CF419F"/>
    <w:rsid w:val="00CF4339"/>
    <w:rsid w:val="00CF462E"/>
    <w:rsid w:val="00CF4842"/>
    <w:rsid w:val="00CF4901"/>
    <w:rsid w:val="00CF4978"/>
    <w:rsid w:val="00CF4A4C"/>
    <w:rsid w:val="00CF4A7A"/>
    <w:rsid w:val="00CF4ADE"/>
    <w:rsid w:val="00CF4B6A"/>
    <w:rsid w:val="00CF52B2"/>
    <w:rsid w:val="00CF55CB"/>
    <w:rsid w:val="00CF5EA8"/>
    <w:rsid w:val="00CF5ECB"/>
    <w:rsid w:val="00CF5EE0"/>
    <w:rsid w:val="00CF61C1"/>
    <w:rsid w:val="00CF63E1"/>
    <w:rsid w:val="00CF66DC"/>
    <w:rsid w:val="00CF67A4"/>
    <w:rsid w:val="00CF67AC"/>
    <w:rsid w:val="00CF686C"/>
    <w:rsid w:val="00CF69E0"/>
    <w:rsid w:val="00CF6A0C"/>
    <w:rsid w:val="00CF6AC9"/>
    <w:rsid w:val="00CF6B09"/>
    <w:rsid w:val="00CF6BA9"/>
    <w:rsid w:val="00CF6E4B"/>
    <w:rsid w:val="00CF6FA0"/>
    <w:rsid w:val="00CF732B"/>
    <w:rsid w:val="00CF76C9"/>
    <w:rsid w:val="00CF777A"/>
    <w:rsid w:val="00CF786F"/>
    <w:rsid w:val="00CF78C9"/>
    <w:rsid w:val="00CF78D5"/>
    <w:rsid w:val="00CF793F"/>
    <w:rsid w:val="00CF7A1F"/>
    <w:rsid w:val="00CF7F7E"/>
    <w:rsid w:val="00CF7FE0"/>
    <w:rsid w:val="00D00197"/>
    <w:rsid w:val="00D001A5"/>
    <w:rsid w:val="00D001B9"/>
    <w:rsid w:val="00D00254"/>
    <w:rsid w:val="00D0042F"/>
    <w:rsid w:val="00D00466"/>
    <w:rsid w:val="00D00608"/>
    <w:rsid w:val="00D00662"/>
    <w:rsid w:val="00D00A70"/>
    <w:rsid w:val="00D00CA1"/>
    <w:rsid w:val="00D01096"/>
    <w:rsid w:val="00D0136D"/>
    <w:rsid w:val="00D01AD9"/>
    <w:rsid w:val="00D01BA5"/>
    <w:rsid w:val="00D01C4B"/>
    <w:rsid w:val="00D01DFF"/>
    <w:rsid w:val="00D01EB1"/>
    <w:rsid w:val="00D0208C"/>
    <w:rsid w:val="00D02093"/>
    <w:rsid w:val="00D021BD"/>
    <w:rsid w:val="00D021DF"/>
    <w:rsid w:val="00D024AE"/>
    <w:rsid w:val="00D0259F"/>
    <w:rsid w:val="00D02615"/>
    <w:rsid w:val="00D02723"/>
    <w:rsid w:val="00D02823"/>
    <w:rsid w:val="00D02A7F"/>
    <w:rsid w:val="00D02B81"/>
    <w:rsid w:val="00D02C41"/>
    <w:rsid w:val="00D02C5F"/>
    <w:rsid w:val="00D02D98"/>
    <w:rsid w:val="00D02F02"/>
    <w:rsid w:val="00D03091"/>
    <w:rsid w:val="00D030DE"/>
    <w:rsid w:val="00D03257"/>
    <w:rsid w:val="00D03298"/>
    <w:rsid w:val="00D032DE"/>
    <w:rsid w:val="00D03702"/>
    <w:rsid w:val="00D03AEA"/>
    <w:rsid w:val="00D03D6E"/>
    <w:rsid w:val="00D03D86"/>
    <w:rsid w:val="00D03DC0"/>
    <w:rsid w:val="00D041C0"/>
    <w:rsid w:val="00D044AE"/>
    <w:rsid w:val="00D04559"/>
    <w:rsid w:val="00D046D2"/>
    <w:rsid w:val="00D049AF"/>
    <w:rsid w:val="00D049D1"/>
    <w:rsid w:val="00D04B77"/>
    <w:rsid w:val="00D04C67"/>
    <w:rsid w:val="00D04C98"/>
    <w:rsid w:val="00D04CDC"/>
    <w:rsid w:val="00D04E05"/>
    <w:rsid w:val="00D04E3B"/>
    <w:rsid w:val="00D04E94"/>
    <w:rsid w:val="00D04F01"/>
    <w:rsid w:val="00D04F5A"/>
    <w:rsid w:val="00D04FA8"/>
    <w:rsid w:val="00D05002"/>
    <w:rsid w:val="00D051C6"/>
    <w:rsid w:val="00D051F7"/>
    <w:rsid w:val="00D05306"/>
    <w:rsid w:val="00D05405"/>
    <w:rsid w:val="00D05574"/>
    <w:rsid w:val="00D05866"/>
    <w:rsid w:val="00D062A7"/>
    <w:rsid w:val="00D06310"/>
    <w:rsid w:val="00D06372"/>
    <w:rsid w:val="00D06513"/>
    <w:rsid w:val="00D065A0"/>
    <w:rsid w:val="00D0668E"/>
    <w:rsid w:val="00D06B19"/>
    <w:rsid w:val="00D06C1F"/>
    <w:rsid w:val="00D07039"/>
    <w:rsid w:val="00D07267"/>
    <w:rsid w:val="00D0731D"/>
    <w:rsid w:val="00D07B36"/>
    <w:rsid w:val="00D10185"/>
    <w:rsid w:val="00D101F7"/>
    <w:rsid w:val="00D10257"/>
    <w:rsid w:val="00D103D5"/>
    <w:rsid w:val="00D10642"/>
    <w:rsid w:val="00D109A9"/>
    <w:rsid w:val="00D10B19"/>
    <w:rsid w:val="00D10B43"/>
    <w:rsid w:val="00D10C7A"/>
    <w:rsid w:val="00D10CF0"/>
    <w:rsid w:val="00D110B2"/>
    <w:rsid w:val="00D11526"/>
    <w:rsid w:val="00D11586"/>
    <w:rsid w:val="00D115EF"/>
    <w:rsid w:val="00D117D5"/>
    <w:rsid w:val="00D11947"/>
    <w:rsid w:val="00D11AA4"/>
    <w:rsid w:val="00D11C1C"/>
    <w:rsid w:val="00D11CB6"/>
    <w:rsid w:val="00D12322"/>
    <w:rsid w:val="00D1245A"/>
    <w:rsid w:val="00D12521"/>
    <w:rsid w:val="00D12641"/>
    <w:rsid w:val="00D1267F"/>
    <w:rsid w:val="00D12719"/>
    <w:rsid w:val="00D12767"/>
    <w:rsid w:val="00D12863"/>
    <w:rsid w:val="00D128A0"/>
    <w:rsid w:val="00D12924"/>
    <w:rsid w:val="00D129CA"/>
    <w:rsid w:val="00D12A3E"/>
    <w:rsid w:val="00D12AA4"/>
    <w:rsid w:val="00D12BAD"/>
    <w:rsid w:val="00D12BC9"/>
    <w:rsid w:val="00D12C47"/>
    <w:rsid w:val="00D12D9B"/>
    <w:rsid w:val="00D12E15"/>
    <w:rsid w:val="00D12E1B"/>
    <w:rsid w:val="00D12F7C"/>
    <w:rsid w:val="00D13002"/>
    <w:rsid w:val="00D1333F"/>
    <w:rsid w:val="00D13356"/>
    <w:rsid w:val="00D1348F"/>
    <w:rsid w:val="00D134F0"/>
    <w:rsid w:val="00D135E3"/>
    <w:rsid w:val="00D138CE"/>
    <w:rsid w:val="00D13B0C"/>
    <w:rsid w:val="00D13C4B"/>
    <w:rsid w:val="00D13D92"/>
    <w:rsid w:val="00D13F6A"/>
    <w:rsid w:val="00D140D4"/>
    <w:rsid w:val="00D143CF"/>
    <w:rsid w:val="00D14564"/>
    <w:rsid w:val="00D145F5"/>
    <w:rsid w:val="00D147A6"/>
    <w:rsid w:val="00D14892"/>
    <w:rsid w:val="00D14967"/>
    <w:rsid w:val="00D149B2"/>
    <w:rsid w:val="00D14B31"/>
    <w:rsid w:val="00D14B88"/>
    <w:rsid w:val="00D14C2D"/>
    <w:rsid w:val="00D14E28"/>
    <w:rsid w:val="00D14F21"/>
    <w:rsid w:val="00D1506D"/>
    <w:rsid w:val="00D1515D"/>
    <w:rsid w:val="00D1531E"/>
    <w:rsid w:val="00D153B7"/>
    <w:rsid w:val="00D1544E"/>
    <w:rsid w:val="00D15512"/>
    <w:rsid w:val="00D157A3"/>
    <w:rsid w:val="00D15A61"/>
    <w:rsid w:val="00D15BAC"/>
    <w:rsid w:val="00D15BD6"/>
    <w:rsid w:val="00D15D83"/>
    <w:rsid w:val="00D15DC7"/>
    <w:rsid w:val="00D15DE3"/>
    <w:rsid w:val="00D15E1D"/>
    <w:rsid w:val="00D161D4"/>
    <w:rsid w:val="00D16B3D"/>
    <w:rsid w:val="00D16D36"/>
    <w:rsid w:val="00D16F26"/>
    <w:rsid w:val="00D17010"/>
    <w:rsid w:val="00D176E2"/>
    <w:rsid w:val="00D17D70"/>
    <w:rsid w:val="00D17E2A"/>
    <w:rsid w:val="00D17E37"/>
    <w:rsid w:val="00D17ED2"/>
    <w:rsid w:val="00D17FC2"/>
    <w:rsid w:val="00D2014D"/>
    <w:rsid w:val="00D2021F"/>
    <w:rsid w:val="00D20304"/>
    <w:rsid w:val="00D2078E"/>
    <w:rsid w:val="00D2081D"/>
    <w:rsid w:val="00D209BF"/>
    <w:rsid w:val="00D20AC3"/>
    <w:rsid w:val="00D20D76"/>
    <w:rsid w:val="00D20D90"/>
    <w:rsid w:val="00D211CD"/>
    <w:rsid w:val="00D212F5"/>
    <w:rsid w:val="00D21379"/>
    <w:rsid w:val="00D214E1"/>
    <w:rsid w:val="00D216C3"/>
    <w:rsid w:val="00D2171F"/>
    <w:rsid w:val="00D21844"/>
    <w:rsid w:val="00D21927"/>
    <w:rsid w:val="00D21CC7"/>
    <w:rsid w:val="00D21D49"/>
    <w:rsid w:val="00D21D57"/>
    <w:rsid w:val="00D221B0"/>
    <w:rsid w:val="00D224C1"/>
    <w:rsid w:val="00D225F8"/>
    <w:rsid w:val="00D2262D"/>
    <w:rsid w:val="00D2284A"/>
    <w:rsid w:val="00D2285E"/>
    <w:rsid w:val="00D22C9D"/>
    <w:rsid w:val="00D22D22"/>
    <w:rsid w:val="00D22D8E"/>
    <w:rsid w:val="00D22E83"/>
    <w:rsid w:val="00D2309A"/>
    <w:rsid w:val="00D234AC"/>
    <w:rsid w:val="00D2352F"/>
    <w:rsid w:val="00D235D6"/>
    <w:rsid w:val="00D236DC"/>
    <w:rsid w:val="00D2370F"/>
    <w:rsid w:val="00D23718"/>
    <w:rsid w:val="00D237E7"/>
    <w:rsid w:val="00D238DF"/>
    <w:rsid w:val="00D23969"/>
    <w:rsid w:val="00D23C99"/>
    <w:rsid w:val="00D23EEC"/>
    <w:rsid w:val="00D24075"/>
    <w:rsid w:val="00D2409B"/>
    <w:rsid w:val="00D240AE"/>
    <w:rsid w:val="00D240CE"/>
    <w:rsid w:val="00D241AC"/>
    <w:rsid w:val="00D24399"/>
    <w:rsid w:val="00D24522"/>
    <w:rsid w:val="00D2465D"/>
    <w:rsid w:val="00D24901"/>
    <w:rsid w:val="00D2497C"/>
    <w:rsid w:val="00D24ACF"/>
    <w:rsid w:val="00D24AE7"/>
    <w:rsid w:val="00D24B42"/>
    <w:rsid w:val="00D24C0B"/>
    <w:rsid w:val="00D24D43"/>
    <w:rsid w:val="00D24EF9"/>
    <w:rsid w:val="00D2511F"/>
    <w:rsid w:val="00D25153"/>
    <w:rsid w:val="00D252AF"/>
    <w:rsid w:val="00D2535D"/>
    <w:rsid w:val="00D25471"/>
    <w:rsid w:val="00D254A0"/>
    <w:rsid w:val="00D25564"/>
    <w:rsid w:val="00D25619"/>
    <w:rsid w:val="00D25763"/>
    <w:rsid w:val="00D25945"/>
    <w:rsid w:val="00D2599B"/>
    <w:rsid w:val="00D25A03"/>
    <w:rsid w:val="00D25A2D"/>
    <w:rsid w:val="00D25BB8"/>
    <w:rsid w:val="00D25E70"/>
    <w:rsid w:val="00D25F51"/>
    <w:rsid w:val="00D260F9"/>
    <w:rsid w:val="00D26639"/>
    <w:rsid w:val="00D269DD"/>
    <w:rsid w:val="00D26CAC"/>
    <w:rsid w:val="00D26D7E"/>
    <w:rsid w:val="00D26E17"/>
    <w:rsid w:val="00D26EEB"/>
    <w:rsid w:val="00D2713C"/>
    <w:rsid w:val="00D27141"/>
    <w:rsid w:val="00D27205"/>
    <w:rsid w:val="00D272A5"/>
    <w:rsid w:val="00D2738C"/>
    <w:rsid w:val="00D277E4"/>
    <w:rsid w:val="00D27801"/>
    <w:rsid w:val="00D2792C"/>
    <w:rsid w:val="00D27ABA"/>
    <w:rsid w:val="00D27CAE"/>
    <w:rsid w:val="00D3020D"/>
    <w:rsid w:val="00D303B6"/>
    <w:rsid w:val="00D304FA"/>
    <w:rsid w:val="00D305AA"/>
    <w:rsid w:val="00D305BF"/>
    <w:rsid w:val="00D309B2"/>
    <w:rsid w:val="00D309B8"/>
    <w:rsid w:val="00D30B27"/>
    <w:rsid w:val="00D30BB7"/>
    <w:rsid w:val="00D30C13"/>
    <w:rsid w:val="00D30C1C"/>
    <w:rsid w:val="00D30C2A"/>
    <w:rsid w:val="00D30C4A"/>
    <w:rsid w:val="00D30CF7"/>
    <w:rsid w:val="00D31047"/>
    <w:rsid w:val="00D3113D"/>
    <w:rsid w:val="00D312C5"/>
    <w:rsid w:val="00D312EF"/>
    <w:rsid w:val="00D315CE"/>
    <w:rsid w:val="00D316A1"/>
    <w:rsid w:val="00D316E3"/>
    <w:rsid w:val="00D31707"/>
    <w:rsid w:val="00D3182D"/>
    <w:rsid w:val="00D31C24"/>
    <w:rsid w:val="00D31F0F"/>
    <w:rsid w:val="00D3203A"/>
    <w:rsid w:val="00D321B9"/>
    <w:rsid w:val="00D321DD"/>
    <w:rsid w:val="00D32517"/>
    <w:rsid w:val="00D32880"/>
    <w:rsid w:val="00D329F1"/>
    <w:rsid w:val="00D32D4F"/>
    <w:rsid w:val="00D32D5F"/>
    <w:rsid w:val="00D32D8A"/>
    <w:rsid w:val="00D32F5F"/>
    <w:rsid w:val="00D331CD"/>
    <w:rsid w:val="00D333EE"/>
    <w:rsid w:val="00D336BF"/>
    <w:rsid w:val="00D336C3"/>
    <w:rsid w:val="00D3375D"/>
    <w:rsid w:val="00D338FB"/>
    <w:rsid w:val="00D33BAD"/>
    <w:rsid w:val="00D33BE5"/>
    <w:rsid w:val="00D33CA2"/>
    <w:rsid w:val="00D33DBE"/>
    <w:rsid w:val="00D33E05"/>
    <w:rsid w:val="00D33EA8"/>
    <w:rsid w:val="00D33EF4"/>
    <w:rsid w:val="00D33EF9"/>
    <w:rsid w:val="00D33FB6"/>
    <w:rsid w:val="00D3409C"/>
    <w:rsid w:val="00D340BA"/>
    <w:rsid w:val="00D3418A"/>
    <w:rsid w:val="00D34263"/>
    <w:rsid w:val="00D345B7"/>
    <w:rsid w:val="00D347AA"/>
    <w:rsid w:val="00D34859"/>
    <w:rsid w:val="00D34B7B"/>
    <w:rsid w:val="00D34BE7"/>
    <w:rsid w:val="00D34C52"/>
    <w:rsid w:val="00D34C86"/>
    <w:rsid w:val="00D34FD6"/>
    <w:rsid w:val="00D35159"/>
    <w:rsid w:val="00D355C1"/>
    <w:rsid w:val="00D355E8"/>
    <w:rsid w:val="00D355F0"/>
    <w:rsid w:val="00D3574C"/>
    <w:rsid w:val="00D3582E"/>
    <w:rsid w:val="00D35830"/>
    <w:rsid w:val="00D35F87"/>
    <w:rsid w:val="00D36092"/>
    <w:rsid w:val="00D360AE"/>
    <w:rsid w:val="00D3630E"/>
    <w:rsid w:val="00D3640D"/>
    <w:rsid w:val="00D3654D"/>
    <w:rsid w:val="00D365F4"/>
    <w:rsid w:val="00D3686A"/>
    <w:rsid w:val="00D369CD"/>
    <w:rsid w:val="00D36D71"/>
    <w:rsid w:val="00D36DD8"/>
    <w:rsid w:val="00D36DF5"/>
    <w:rsid w:val="00D36E2D"/>
    <w:rsid w:val="00D36E8E"/>
    <w:rsid w:val="00D37090"/>
    <w:rsid w:val="00D3710B"/>
    <w:rsid w:val="00D37297"/>
    <w:rsid w:val="00D3748D"/>
    <w:rsid w:val="00D379D1"/>
    <w:rsid w:val="00D37DB3"/>
    <w:rsid w:val="00D37E80"/>
    <w:rsid w:val="00D37F13"/>
    <w:rsid w:val="00D37F94"/>
    <w:rsid w:val="00D40098"/>
    <w:rsid w:val="00D404C7"/>
    <w:rsid w:val="00D404CA"/>
    <w:rsid w:val="00D4054C"/>
    <w:rsid w:val="00D40774"/>
    <w:rsid w:val="00D40BC4"/>
    <w:rsid w:val="00D40F0F"/>
    <w:rsid w:val="00D40F23"/>
    <w:rsid w:val="00D40FF8"/>
    <w:rsid w:val="00D412D0"/>
    <w:rsid w:val="00D413E7"/>
    <w:rsid w:val="00D41417"/>
    <w:rsid w:val="00D41745"/>
    <w:rsid w:val="00D418E3"/>
    <w:rsid w:val="00D41959"/>
    <w:rsid w:val="00D41C34"/>
    <w:rsid w:val="00D41C38"/>
    <w:rsid w:val="00D41E63"/>
    <w:rsid w:val="00D41F51"/>
    <w:rsid w:val="00D41F87"/>
    <w:rsid w:val="00D4208C"/>
    <w:rsid w:val="00D4209C"/>
    <w:rsid w:val="00D42253"/>
    <w:rsid w:val="00D4231A"/>
    <w:rsid w:val="00D423C0"/>
    <w:rsid w:val="00D4274A"/>
    <w:rsid w:val="00D42879"/>
    <w:rsid w:val="00D42A45"/>
    <w:rsid w:val="00D42A68"/>
    <w:rsid w:val="00D42AAE"/>
    <w:rsid w:val="00D42B52"/>
    <w:rsid w:val="00D42DD7"/>
    <w:rsid w:val="00D42F87"/>
    <w:rsid w:val="00D43011"/>
    <w:rsid w:val="00D431D3"/>
    <w:rsid w:val="00D433A0"/>
    <w:rsid w:val="00D4341B"/>
    <w:rsid w:val="00D43589"/>
    <w:rsid w:val="00D43655"/>
    <w:rsid w:val="00D4366C"/>
    <w:rsid w:val="00D436B9"/>
    <w:rsid w:val="00D437ED"/>
    <w:rsid w:val="00D438E6"/>
    <w:rsid w:val="00D438EB"/>
    <w:rsid w:val="00D439B4"/>
    <w:rsid w:val="00D43AC8"/>
    <w:rsid w:val="00D43E82"/>
    <w:rsid w:val="00D43F0B"/>
    <w:rsid w:val="00D44000"/>
    <w:rsid w:val="00D44062"/>
    <w:rsid w:val="00D4435F"/>
    <w:rsid w:val="00D44650"/>
    <w:rsid w:val="00D44693"/>
    <w:rsid w:val="00D4475D"/>
    <w:rsid w:val="00D448D8"/>
    <w:rsid w:val="00D44975"/>
    <w:rsid w:val="00D44A19"/>
    <w:rsid w:val="00D44B62"/>
    <w:rsid w:val="00D44BBA"/>
    <w:rsid w:val="00D44CF9"/>
    <w:rsid w:val="00D44D12"/>
    <w:rsid w:val="00D44D72"/>
    <w:rsid w:val="00D44DC3"/>
    <w:rsid w:val="00D44DD4"/>
    <w:rsid w:val="00D44E8F"/>
    <w:rsid w:val="00D44EEA"/>
    <w:rsid w:val="00D4511D"/>
    <w:rsid w:val="00D451EB"/>
    <w:rsid w:val="00D455AD"/>
    <w:rsid w:val="00D455C6"/>
    <w:rsid w:val="00D45781"/>
    <w:rsid w:val="00D457E9"/>
    <w:rsid w:val="00D458FB"/>
    <w:rsid w:val="00D45C83"/>
    <w:rsid w:val="00D45D24"/>
    <w:rsid w:val="00D45F6B"/>
    <w:rsid w:val="00D46039"/>
    <w:rsid w:val="00D4618D"/>
    <w:rsid w:val="00D461AA"/>
    <w:rsid w:val="00D46386"/>
    <w:rsid w:val="00D46468"/>
    <w:rsid w:val="00D46551"/>
    <w:rsid w:val="00D468DA"/>
    <w:rsid w:val="00D46A97"/>
    <w:rsid w:val="00D46BBC"/>
    <w:rsid w:val="00D46C48"/>
    <w:rsid w:val="00D46E86"/>
    <w:rsid w:val="00D4702D"/>
    <w:rsid w:val="00D47281"/>
    <w:rsid w:val="00D47677"/>
    <w:rsid w:val="00D478A2"/>
    <w:rsid w:val="00D47C19"/>
    <w:rsid w:val="00D47C2E"/>
    <w:rsid w:val="00D47CE5"/>
    <w:rsid w:val="00D47DAC"/>
    <w:rsid w:val="00D47E22"/>
    <w:rsid w:val="00D47E9D"/>
    <w:rsid w:val="00D47F92"/>
    <w:rsid w:val="00D5006D"/>
    <w:rsid w:val="00D501E1"/>
    <w:rsid w:val="00D5028A"/>
    <w:rsid w:val="00D5032A"/>
    <w:rsid w:val="00D5045D"/>
    <w:rsid w:val="00D50542"/>
    <w:rsid w:val="00D50627"/>
    <w:rsid w:val="00D50849"/>
    <w:rsid w:val="00D50879"/>
    <w:rsid w:val="00D50909"/>
    <w:rsid w:val="00D50A4B"/>
    <w:rsid w:val="00D50A62"/>
    <w:rsid w:val="00D50B97"/>
    <w:rsid w:val="00D50CC4"/>
    <w:rsid w:val="00D50E31"/>
    <w:rsid w:val="00D50E3A"/>
    <w:rsid w:val="00D50F9C"/>
    <w:rsid w:val="00D510FE"/>
    <w:rsid w:val="00D5130E"/>
    <w:rsid w:val="00D51394"/>
    <w:rsid w:val="00D51610"/>
    <w:rsid w:val="00D51795"/>
    <w:rsid w:val="00D51952"/>
    <w:rsid w:val="00D51AF5"/>
    <w:rsid w:val="00D51B81"/>
    <w:rsid w:val="00D51B9E"/>
    <w:rsid w:val="00D51F76"/>
    <w:rsid w:val="00D51FA7"/>
    <w:rsid w:val="00D5203B"/>
    <w:rsid w:val="00D523D2"/>
    <w:rsid w:val="00D525D5"/>
    <w:rsid w:val="00D5270C"/>
    <w:rsid w:val="00D52A3B"/>
    <w:rsid w:val="00D52B30"/>
    <w:rsid w:val="00D52D6A"/>
    <w:rsid w:val="00D52D74"/>
    <w:rsid w:val="00D52DC0"/>
    <w:rsid w:val="00D52E13"/>
    <w:rsid w:val="00D52E23"/>
    <w:rsid w:val="00D534F4"/>
    <w:rsid w:val="00D5352E"/>
    <w:rsid w:val="00D535A8"/>
    <w:rsid w:val="00D53720"/>
    <w:rsid w:val="00D53733"/>
    <w:rsid w:val="00D5384F"/>
    <w:rsid w:val="00D53B64"/>
    <w:rsid w:val="00D53E60"/>
    <w:rsid w:val="00D54297"/>
    <w:rsid w:val="00D543F0"/>
    <w:rsid w:val="00D543F4"/>
    <w:rsid w:val="00D54451"/>
    <w:rsid w:val="00D54489"/>
    <w:rsid w:val="00D54875"/>
    <w:rsid w:val="00D5489E"/>
    <w:rsid w:val="00D548C6"/>
    <w:rsid w:val="00D54BB6"/>
    <w:rsid w:val="00D54DE9"/>
    <w:rsid w:val="00D54FA8"/>
    <w:rsid w:val="00D550D2"/>
    <w:rsid w:val="00D550F8"/>
    <w:rsid w:val="00D5543A"/>
    <w:rsid w:val="00D55664"/>
    <w:rsid w:val="00D5578F"/>
    <w:rsid w:val="00D55A85"/>
    <w:rsid w:val="00D55ADF"/>
    <w:rsid w:val="00D55B5A"/>
    <w:rsid w:val="00D55BCB"/>
    <w:rsid w:val="00D55E21"/>
    <w:rsid w:val="00D55F13"/>
    <w:rsid w:val="00D56052"/>
    <w:rsid w:val="00D56113"/>
    <w:rsid w:val="00D56293"/>
    <w:rsid w:val="00D565F9"/>
    <w:rsid w:val="00D56649"/>
    <w:rsid w:val="00D566E6"/>
    <w:rsid w:val="00D56A09"/>
    <w:rsid w:val="00D56A68"/>
    <w:rsid w:val="00D56BC4"/>
    <w:rsid w:val="00D57014"/>
    <w:rsid w:val="00D570B7"/>
    <w:rsid w:val="00D5726C"/>
    <w:rsid w:val="00D5757E"/>
    <w:rsid w:val="00D57641"/>
    <w:rsid w:val="00D579E0"/>
    <w:rsid w:val="00D57B5E"/>
    <w:rsid w:val="00D57B9C"/>
    <w:rsid w:val="00D57BC0"/>
    <w:rsid w:val="00D57C35"/>
    <w:rsid w:val="00D57C9D"/>
    <w:rsid w:val="00D57DFB"/>
    <w:rsid w:val="00D57EC8"/>
    <w:rsid w:val="00D57F22"/>
    <w:rsid w:val="00D57F2F"/>
    <w:rsid w:val="00D601D1"/>
    <w:rsid w:val="00D60306"/>
    <w:rsid w:val="00D6063B"/>
    <w:rsid w:val="00D60925"/>
    <w:rsid w:val="00D60990"/>
    <w:rsid w:val="00D609C4"/>
    <w:rsid w:val="00D60A15"/>
    <w:rsid w:val="00D60A37"/>
    <w:rsid w:val="00D60B77"/>
    <w:rsid w:val="00D60BA3"/>
    <w:rsid w:val="00D60BD7"/>
    <w:rsid w:val="00D60D23"/>
    <w:rsid w:val="00D60DD6"/>
    <w:rsid w:val="00D60E91"/>
    <w:rsid w:val="00D60F1D"/>
    <w:rsid w:val="00D60F52"/>
    <w:rsid w:val="00D61249"/>
    <w:rsid w:val="00D615D7"/>
    <w:rsid w:val="00D615DC"/>
    <w:rsid w:val="00D61751"/>
    <w:rsid w:val="00D617F1"/>
    <w:rsid w:val="00D61A68"/>
    <w:rsid w:val="00D61DB6"/>
    <w:rsid w:val="00D61F20"/>
    <w:rsid w:val="00D620AC"/>
    <w:rsid w:val="00D62259"/>
    <w:rsid w:val="00D62471"/>
    <w:rsid w:val="00D624A5"/>
    <w:rsid w:val="00D62777"/>
    <w:rsid w:val="00D627B3"/>
    <w:rsid w:val="00D62AB1"/>
    <w:rsid w:val="00D62B8A"/>
    <w:rsid w:val="00D630B6"/>
    <w:rsid w:val="00D6334A"/>
    <w:rsid w:val="00D633FB"/>
    <w:rsid w:val="00D635F8"/>
    <w:rsid w:val="00D637BB"/>
    <w:rsid w:val="00D637D3"/>
    <w:rsid w:val="00D6394D"/>
    <w:rsid w:val="00D639A8"/>
    <w:rsid w:val="00D63AF8"/>
    <w:rsid w:val="00D63C31"/>
    <w:rsid w:val="00D63CE6"/>
    <w:rsid w:val="00D63EB5"/>
    <w:rsid w:val="00D63FE5"/>
    <w:rsid w:val="00D6406A"/>
    <w:rsid w:val="00D641EC"/>
    <w:rsid w:val="00D64322"/>
    <w:rsid w:val="00D643F4"/>
    <w:rsid w:val="00D646B7"/>
    <w:rsid w:val="00D64C0E"/>
    <w:rsid w:val="00D64CEC"/>
    <w:rsid w:val="00D64E1B"/>
    <w:rsid w:val="00D64EB3"/>
    <w:rsid w:val="00D64FA2"/>
    <w:rsid w:val="00D652D4"/>
    <w:rsid w:val="00D65378"/>
    <w:rsid w:val="00D653CB"/>
    <w:rsid w:val="00D6545E"/>
    <w:rsid w:val="00D6546B"/>
    <w:rsid w:val="00D654F6"/>
    <w:rsid w:val="00D65732"/>
    <w:rsid w:val="00D6578B"/>
    <w:rsid w:val="00D657DA"/>
    <w:rsid w:val="00D6580C"/>
    <w:rsid w:val="00D65996"/>
    <w:rsid w:val="00D65999"/>
    <w:rsid w:val="00D65D26"/>
    <w:rsid w:val="00D6657B"/>
    <w:rsid w:val="00D66708"/>
    <w:rsid w:val="00D66852"/>
    <w:rsid w:val="00D66890"/>
    <w:rsid w:val="00D669A6"/>
    <w:rsid w:val="00D66ADC"/>
    <w:rsid w:val="00D66BB3"/>
    <w:rsid w:val="00D66C16"/>
    <w:rsid w:val="00D66CC2"/>
    <w:rsid w:val="00D66D5F"/>
    <w:rsid w:val="00D672A7"/>
    <w:rsid w:val="00D67354"/>
    <w:rsid w:val="00D677AC"/>
    <w:rsid w:val="00D67922"/>
    <w:rsid w:val="00D67BBD"/>
    <w:rsid w:val="00D67E8D"/>
    <w:rsid w:val="00D67EF9"/>
    <w:rsid w:val="00D7011E"/>
    <w:rsid w:val="00D70235"/>
    <w:rsid w:val="00D70563"/>
    <w:rsid w:val="00D70589"/>
    <w:rsid w:val="00D70665"/>
    <w:rsid w:val="00D70806"/>
    <w:rsid w:val="00D70A4F"/>
    <w:rsid w:val="00D70AA1"/>
    <w:rsid w:val="00D70C83"/>
    <w:rsid w:val="00D70CE6"/>
    <w:rsid w:val="00D71164"/>
    <w:rsid w:val="00D713A4"/>
    <w:rsid w:val="00D71A85"/>
    <w:rsid w:val="00D71D47"/>
    <w:rsid w:val="00D71DD5"/>
    <w:rsid w:val="00D71F7D"/>
    <w:rsid w:val="00D71FF3"/>
    <w:rsid w:val="00D720A4"/>
    <w:rsid w:val="00D721BC"/>
    <w:rsid w:val="00D72221"/>
    <w:rsid w:val="00D7232F"/>
    <w:rsid w:val="00D72361"/>
    <w:rsid w:val="00D72430"/>
    <w:rsid w:val="00D724AF"/>
    <w:rsid w:val="00D72561"/>
    <w:rsid w:val="00D72602"/>
    <w:rsid w:val="00D726B6"/>
    <w:rsid w:val="00D72857"/>
    <w:rsid w:val="00D7285D"/>
    <w:rsid w:val="00D7292B"/>
    <w:rsid w:val="00D72EB3"/>
    <w:rsid w:val="00D73120"/>
    <w:rsid w:val="00D7323C"/>
    <w:rsid w:val="00D73531"/>
    <w:rsid w:val="00D73835"/>
    <w:rsid w:val="00D73977"/>
    <w:rsid w:val="00D739A5"/>
    <w:rsid w:val="00D73B1C"/>
    <w:rsid w:val="00D73DEA"/>
    <w:rsid w:val="00D74337"/>
    <w:rsid w:val="00D743D2"/>
    <w:rsid w:val="00D747C4"/>
    <w:rsid w:val="00D74CAF"/>
    <w:rsid w:val="00D74E2F"/>
    <w:rsid w:val="00D74E75"/>
    <w:rsid w:val="00D74F7A"/>
    <w:rsid w:val="00D7501C"/>
    <w:rsid w:val="00D75061"/>
    <w:rsid w:val="00D75945"/>
    <w:rsid w:val="00D75A4F"/>
    <w:rsid w:val="00D75D3A"/>
    <w:rsid w:val="00D76217"/>
    <w:rsid w:val="00D76676"/>
    <w:rsid w:val="00D7671E"/>
    <w:rsid w:val="00D76A8C"/>
    <w:rsid w:val="00D76B25"/>
    <w:rsid w:val="00D76C1A"/>
    <w:rsid w:val="00D76CA5"/>
    <w:rsid w:val="00D76D3C"/>
    <w:rsid w:val="00D76F13"/>
    <w:rsid w:val="00D7750B"/>
    <w:rsid w:val="00D7755C"/>
    <w:rsid w:val="00D77669"/>
    <w:rsid w:val="00D77701"/>
    <w:rsid w:val="00D777D1"/>
    <w:rsid w:val="00D77973"/>
    <w:rsid w:val="00D77BC3"/>
    <w:rsid w:val="00D77DA0"/>
    <w:rsid w:val="00D80087"/>
    <w:rsid w:val="00D8022B"/>
    <w:rsid w:val="00D805D1"/>
    <w:rsid w:val="00D80600"/>
    <w:rsid w:val="00D80606"/>
    <w:rsid w:val="00D80696"/>
    <w:rsid w:val="00D8072C"/>
    <w:rsid w:val="00D809C7"/>
    <w:rsid w:val="00D81122"/>
    <w:rsid w:val="00D8136D"/>
    <w:rsid w:val="00D815AB"/>
    <w:rsid w:val="00D818C6"/>
    <w:rsid w:val="00D81AE2"/>
    <w:rsid w:val="00D81CB6"/>
    <w:rsid w:val="00D81DE2"/>
    <w:rsid w:val="00D8203E"/>
    <w:rsid w:val="00D82339"/>
    <w:rsid w:val="00D82549"/>
    <w:rsid w:val="00D8266F"/>
    <w:rsid w:val="00D82983"/>
    <w:rsid w:val="00D82B64"/>
    <w:rsid w:val="00D82B78"/>
    <w:rsid w:val="00D82C6B"/>
    <w:rsid w:val="00D82CCA"/>
    <w:rsid w:val="00D82EE0"/>
    <w:rsid w:val="00D82F40"/>
    <w:rsid w:val="00D82F49"/>
    <w:rsid w:val="00D830F3"/>
    <w:rsid w:val="00D8313F"/>
    <w:rsid w:val="00D8323F"/>
    <w:rsid w:val="00D833D9"/>
    <w:rsid w:val="00D8369A"/>
    <w:rsid w:val="00D83B26"/>
    <w:rsid w:val="00D83B29"/>
    <w:rsid w:val="00D83BD9"/>
    <w:rsid w:val="00D83CA6"/>
    <w:rsid w:val="00D83D98"/>
    <w:rsid w:val="00D83DB3"/>
    <w:rsid w:val="00D840F7"/>
    <w:rsid w:val="00D8417D"/>
    <w:rsid w:val="00D84193"/>
    <w:rsid w:val="00D842E6"/>
    <w:rsid w:val="00D8439C"/>
    <w:rsid w:val="00D84613"/>
    <w:rsid w:val="00D84697"/>
    <w:rsid w:val="00D84893"/>
    <w:rsid w:val="00D848C4"/>
    <w:rsid w:val="00D84902"/>
    <w:rsid w:val="00D849BD"/>
    <w:rsid w:val="00D84A61"/>
    <w:rsid w:val="00D84A74"/>
    <w:rsid w:val="00D84A75"/>
    <w:rsid w:val="00D84BA7"/>
    <w:rsid w:val="00D84D0A"/>
    <w:rsid w:val="00D84F2F"/>
    <w:rsid w:val="00D85049"/>
    <w:rsid w:val="00D8507F"/>
    <w:rsid w:val="00D850F2"/>
    <w:rsid w:val="00D85124"/>
    <w:rsid w:val="00D852C2"/>
    <w:rsid w:val="00D853DA"/>
    <w:rsid w:val="00D85425"/>
    <w:rsid w:val="00D854EC"/>
    <w:rsid w:val="00D8552F"/>
    <w:rsid w:val="00D85612"/>
    <w:rsid w:val="00D85980"/>
    <w:rsid w:val="00D859C9"/>
    <w:rsid w:val="00D85CAA"/>
    <w:rsid w:val="00D85CCD"/>
    <w:rsid w:val="00D85D52"/>
    <w:rsid w:val="00D85D80"/>
    <w:rsid w:val="00D85DFE"/>
    <w:rsid w:val="00D85F2A"/>
    <w:rsid w:val="00D86166"/>
    <w:rsid w:val="00D86181"/>
    <w:rsid w:val="00D86185"/>
    <w:rsid w:val="00D861A4"/>
    <w:rsid w:val="00D86365"/>
    <w:rsid w:val="00D8639A"/>
    <w:rsid w:val="00D864EA"/>
    <w:rsid w:val="00D86617"/>
    <w:rsid w:val="00D86662"/>
    <w:rsid w:val="00D86702"/>
    <w:rsid w:val="00D86724"/>
    <w:rsid w:val="00D86836"/>
    <w:rsid w:val="00D8685F"/>
    <w:rsid w:val="00D86A7E"/>
    <w:rsid w:val="00D86B0D"/>
    <w:rsid w:val="00D86C4E"/>
    <w:rsid w:val="00D86D02"/>
    <w:rsid w:val="00D86D9D"/>
    <w:rsid w:val="00D86FD7"/>
    <w:rsid w:val="00D87302"/>
    <w:rsid w:val="00D8735F"/>
    <w:rsid w:val="00D873A6"/>
    <w:rsid w:val="00D87486"/>
    <w:rsid w:val="00D874B0"/>
    <w:rsid w:val="00D87546"/>
    <w:rsid w:val="00D87672"/>
    <w:rsid w:val="00D8773C"/>
    <w:rsid w:val="00D878D2"/>
    <w:rsid w:val="00D87980"/>
    <w:rsid w:val="00D87B4B"/>
    <w:rsid w:val="00D87BAA"/>
    <w:rsid w:val="00D87E50"/>
    <w:rsid w:val="00D87EEB"/>
    <w:rsid w:val="00D90441"/>
    <w:rsid w:val="00D90619"/>
    <w:rsid w:val="00D90651"/>
    <w:rsid w:val="00D90981"/>
    <w:rsid w:val="00D90C23"/>
    <w:rsid w:val="00D90C39"/>
    <w:rsid w:val="00D90C3D"/>
    <w:rsid w:val="00D90C41"/>
    <w:rsid w:val="00D90D9C"/>
    <w:rsid w:val="00D90DF8"/>
    <w:rsid w:val="00D9101C"/>
    <w:rsid w:val="00D910C0"/>
    <w:rsid w:val="00D91380"/>
    <w:rsid w:val="00D9170A"/>
    <w:rsid w:val="00D91784"/>
    <w:rsid w:val="00D91B08"/>
    <w:rsid w:val="00D91C3D"/>
    <w:rsid w:val="00D91D9B"/>
    <w:rsid w:val="00D91EBE"/>
    <w:rsid w:val="00D92186"/>
    <w:rsid w:val="00D921FC"/>
    <w:rsid w:val="00D92354"/>
    <w:rsid w:val="00D923F1"/>
    <w:rsid w:val="00D925ED"/>
    <w:rsid w:val="00D9268A"/>
    <w:rsid w:val="00D92700"/>
    <w:rsid w:val="00D927FE"/>
    <w:rsid w:val="00D92829"/>
    <w:rsid w:val="00D92A1D"/>
    <w:rsid w:val="00D92B4C"/>
    <w:rsid w:val="00D92C6E"/>
    <w:rsid w:val="00D931F1"/>
    <w:rsid w:val="00D9330B"/>
    <w:rsid w:val="00D93474"/>
    <w:rsid w:val="00D939BD"/>
    <w:rsid w:val="00D93A76"/>
    <w:rsid w:val="00D93B5C"/>
    <w:rsid w:val="00D93B80"/>
    <w:rsid w:val="00D93D16"/>
    <w:rsid w:val="00D93D5C"/>
    <w:rsid w:val="00D93E0A"/>
    <w:rsid w:val="00D942C1"/>
    <w:rsid w:val="00D94376"/>
    <w:rsid w:val="00D948B2"/>
    <w:rsid w:val="00D949DD"/>
    <w:rsid w:val="00D94CEE"/>
    <w:rsid w:val="00D94DCF"/>
    <w:rsid w:val="00D94EAE"/>
    <w:rsid w:val="00D94F27"/>
    <w:rsid w:val="00D951CB"/>
    <w:rsid w:val="00D95327"/>
    <w:rsid w:val="00D954FB"/>
    <w:rsid w:val="00D957E2"/>
    <w:rsid w:val="00D9584D"/>
    <w:rsid w:val="00D95914"/>
    <w:rsid w:val="00D9592A"/>
    <w:rsid w:val="00D95A02"/>
    <w:rsid w:val="00D95C33"/>
    <w:rsid w:val="00D95C34"/>
    <w:rsid w:val="00D95C94"/>
    <w:rsid w:val="00D95CB4"/>
    <w:rsid w:val="00D962BA"/>
    <w:rsid w:val="00D964A2"/>
    <w:rsid w:val="00D964FB"/>
    <w:rsid w:val="00D96506"/>
    <w:rsid w:val="00D96687"/>
    <w:rsid w:val="00D9674E"/>
    <w:rsid w:val="00D96997"/>
    <w:rsid w:val="00D96BAD"/>
    <w:rsid w:val="00D96BC5"/>
    <w:rsid w:val="00D96D38"/>
    <w:rsid w:val="00D96E0B"/>
    <w:rsid w:val="00D9711A"/>
    <w:rsid w:val="00D972F8"/>
    <w:rsid w:val="00D9739A"/>
    <w:rsid w:val="00D97529"/>
    <w:rsid w:val="00D97950"/>
    <w:rsid w:val="00D97C45"/>
    <w:rsid w:val="00D97D2D"/>
    <w:rsid w:val="00DA01A4"/>
    <w:rsid w:val="00DA01DE"/>
    <w:rsid w:val="00DA034A"/>
    <w:rsid w:val="00DA04A3"/>
    <w:rsid w:val="00DA054E"/>
    <w:rsid w:val="00DA05C4"/>
    <w:rsid w:val="00DA0891"/>
    <w:rsid w:val="00DA0C97"/>
    <w:rsid w:val="00DA0FF9"/>
    <w:rsid w:val="00DA118E"/>
    <w:rsid w:val="00DA11A6"/>
    <w:rsid w:val="00DA11F7"/>
    <w:rsid w:val="00DA1295"/>
    <w:rsid w:val="00DA12D3"/>
    <w:rsid w:val="00DA1A27"/>
    <w:rsid w:val="00DA1B0C"/>
    <w:rsid w:val="00DA1C00"/>
    <w:rsid w:val="00DA1D72"/>
    <w:rsid w:val="00DA1D9B"/>
    <w:rsid w:val="00DA2104"/>
    <w:rsid w:val="00DA228E"/>
    <w:rsid w:val="00DA242F"/>
    <w:rsid w:val="00DA2516"/>
    <w:rsid w:val="00DA26AD"/>
    <w:rsid w:val="00DA29A9"/>
    <w:rsid w:val="00DA29D7"/>
    <w:rsid w:val="00DA2C0C"/>
    <w:rsid w:val="00DA2C4A"/>
    <w:rsid w:val="00DA324D"/>
    <w:rsid w:val="00DA3252"/>
    <w:rsid w:val="00DA3514"/>
    <w:rsid w:val="00DA3625"/>
    <w:rsid w:val="00DA3C1A"/>
    <w:rsid w:val="00DA3C64"/>
    <w:rsid w:val="00DA3D46"/>
    <w:rsid w:val="00DA3E4E"/>
    <w:rsid w:val="00DA3EBC"/>
    <w:rsid w:val="00DA3FAE"/>
    <w:rsid w:val="00DA3FD3"/>
    <w:rsid w:val="00DA404D"/>
    <w:rsid w:val="00DA42B4"/>
    <w:rsid w:val="00DA449F"/>
    <w:rsid w:val="00DA4651"/>
    <w:rsid w:val="00DA47FA"/>
    <w:rsid w:val="00DA4833"/>
    <w:rsid w:val="00DA4F94"/>
    <w:rsid w:val="00DA5081"/>
    <w:rsid w:val="00DA5259"/>
    <w:rsid w:val="00DA52C4"/>
    <w:rsid w:val="00DA534B"/>
    <w:rsid w:val="00DA5579"/>
    <w:rsid w:val="00DA55A4"/>
    <w:rsid w:val="00DA560D"/>
    <w:rsid w:val="00DA586F"/>
    <w:rsid w:val="00DA5CD3"/>
    <w:rsid w:val="00DA5E07"/>
    <w:rsid w:val="00DA5FC6"/>
    <w:rsid w:val="00DA60AD"/>
    <w:rsid w:val="00DA60BF"/>
    <w:rsid w:val="00DA6118"/>
    <w:rsid w:val="00DA6322"/>
    <w:rsid w:val="00DA637C"/>
    <w:rsid w:val="00DA6477"/>
    <w:rsid w:val="00DA66D1"/>
    <w:rsid w:val="00DA6765"/>
    <w:rsid w:val="00DA67A0"/>
    <w:rsid w:val="00DA67CD"/>
    <w:rsid w:val="00DA6B71"/>
    <w:rsid w:val="00DA6B7C"/>
    <w:rsid w:val="00DA6EE5"/>
    <w:rsid w:val="00DA6F1A"/>
    <w:rsid w:val="00DA6F2D"/>
    <w:rsid w:val="00DA6F42"/>
    <w:rsid w:val="00DA70D0"/>
    <w:rsid w:val="00DA70D2"/>
    <w:rsid w:val="00DA7171"/>
    <w:rsid w:val="00DA728D"/>
    <w:rsid w:val="00DA72DB"/>
    <w:rsid w:val="00DA72E5"/>
    <w:rsid w:val="00DA7329"/>
    <w:rsid w:val="00DA73BF"/>
    <w:rsid w:val="00DA7510"/>
    <w:rsid w:val="00DA7537"/>
    <w:rsid w:val="00DA753D"/>
    <w:rsid w:val="00DA770A"/>
    <w:rsid w:val="00DA7907"/>
    <w:rsid w:val="00DA7A07"/>
    <w:rsid w:val="00DA7B86"/>
    <w:rsid w:val="00DA7D12"/>
    <w:rsid w:val="00DA7DAB"/>
    <w:rsid w:val="00DA7DE8"/>
    <w:rsid w:val="00DA7E04"/>
    <w:rsid w:val="00DB00F2"/>
    <w:rsid w:val="00DB0252"/>
    <w:rsid w:val="00DB026A"/>
    <w:rsid w:val="00DB0461"/>
    <w:rsid w:val="00DB054B"/>
    <w:rsid w:val="00DB080D"/>
    <w:rsid w:val="00DB0890"/>
    <w:rsid w:val="00DB08DA"/>
    <w:rsid w:val="00DB08EB"/>
    <w:rsid w:val="00DB099F"/>
    <w:rsid w:val="00DB09B5"/>
    <w:rsid w:val="00DB0F81"/>
    <w:rsid w:val="00DB11C8"/>
    <w:rsid w:val="00DB12B0"/>
    <w:rsid w:val="00DB131F"/>
    <w:rsid w:val="00DB1581"/>
    <w:rsid w:val="00DB1618"/>
    <w:rsid w:val="00DB167C"/>
    <w:rsid w:val="00DB17C3"/>
    <w:rsid w:val="00DB184C"/>
    <w:rsid w:val="00DB1888"/>
    <w:rsid w:val="00DB18ED"/>
    <w:rsid w:val="00DB199C"/>
    <w:rsid w:val="00DB1B63"/>
    <w:rsid w:val="00DB1D3D"/>
    <w:rsid w:val="00DB1E16"/>
    <w:rsid w:val="00DB1F5F"/>
    <w:rsid w:val="00DB2122"/>
    <w:rsid w:val="00DB214A"/>
    <w:rsid w:val="00DB2356"/>
    <w:rsid w:val="00DB2426"/>
    <w:rsid w:val="00DB24E3"/>
    <w:rsid w:val="00DB2569"/>
    <w:rsid w:val="00DB276A"/>
    <w:rsid w:val="00DB28DE"/>
    <w:rsid w:val="00DB2A84"/>
    <w:rsid w:val="00DB2E4F"/>
    <w:rsid w:val="00DB2F6B"/>
    <w:rsid w:val="00DB311F"/>
    <w:rsid w:val="00DB31C2"/>
    <w:rsid w:val="00DB32F6"/>
    <w:rsid w:val="00DB3408"/>
    <w:rsid w:val="00DB3421"/>
    <w:rsid w:val="00DB35B3"/>
    <w:rsid w:val="00DB35BB"/>
    <w:rsid w:val="00DB37E8"/>
    <w:rsid w:val="00DB383C"/>
    <w:rsid w:val="00DB394F"/>
    <w:rsid w:val="00DB3A0A"/>
    <w:rsid w:val="00DB3EF3"/>
    <w:rsid w:val="00DB4276"/>
    <w:rsid w:val="00DB44E0"/>
    <w:rsid w:val="00DB453E"/>
    <w:rsid w:val="00DB4782"/>
    <w:rsid w:val="00DB484E"/>
    <w:rsid w:val="00DB49BC"/>
    <w:rsid w:val="00DB4D56"/>
    <w:rsid w:val="00DB4F2A"/>
    <w:rsid w:val="00DB508F"/>
    <w:rsid w:val="00DB5137"/>
    <w:rsid w:val="00DB540A"/>
    <w:rsid w:val="00DB55F4"/>
    <w:rsid w:val="00DB5607"/>
    <w:rsid w:val="00DB588D"/>
    <w:rsid w:val="00DB59B2"/>
    <w:rsid w:val="00DB5AA3"/>
    <w:rsid w:val="00DB5ACF"/>
    <w:rsid w:val="00DB5B05"/>
    <w:rsid w:val="00DB6025"/>
    <w:rsid w:val="00DB6051"/>
    <w:rsid w:val="00DB6167"/>
    <w:rsid w:val="00DB6198"/>
    <w:rsid w:val="00DB659A"/>
    <w:rsid w:val="00DB681D"/>
    <w:rsid w:val="00DB69A7"/>
    <w:rsid w:val="00DB6E07"/>
    <w:rsid w:val="00DB6E81"/>
    <w:rsid w:val="00DB6F4A"/>
    <w:rsid w:val="00DB703A"/>
    <w:rsid w:val="00DB7074"/>
    <w:rsid w:val="00DB70F1"/>
    <w:rsid w:val="00DB71D3"/>
    <w:rsid w:val="00DB725A"/>
    <w:rsid w:val="00DB7377"/>
    <w:rsid w:val="00DB7380"/>
    <w:rsid w:val="00DB7389"/>
    <w:rsid w:val="00DB73F4"/>
    <w:rsid w:val="00DB76F9"/>
    <w:rsid w:val="00DB7D11"/>
    <w:rsid w:val="00DB7F09"/>
    <w:rsid w:val="00DC00E8"/>
    <w:rsid w:val="00DC01AE"/>
    <w:rsid w:val="00DC031F"/>
    <w:rsid w:val="00DC032F"/>
    <w:rsid w:val="00DC0443"/>
    <w:rsid w:val="00DC0455"/>
    <w:rsid w:val="00DC0BE0"/>
    <w:rsid w:val="00DC10D4"/>
    <w:rsid w:val="00DC118F"/>
    <w:rsid w:val="00DC12F0"/>
    <w:rsid w:val="00DC1355"/>
    <w:rsid w:val="00DC1606"/>
    <w:rsid w:val="00DC1643"/>
    <w:rsid w:val="00DC16AB"/>
    <w:rsid w:val="00DC17A3"/>
    <w:rsid w:val="00DC1946"/>
    <w:rsid w:val="00DC1B62"/>
    <w:rsid w:val="00DC1C56"/>
    <w:rsid w:val="00DC1C5D"/>
    <w:rsid w:val="00DC1CE9"/>
    <w:rsid w:val="00DC1D65"/>
    <w:rsid w:val="00DC1DA8"/>
    <w:rsid w:val="00DC1DB0"/>
    <w:rsid w:val="00DC1E36"/>
    <w:rsid w:val="00DC1E8D"/>
    <w:rsid w:val="00DC1E9E"/>
    <w:rsid w:val="00DC2139"/>
    <w:rsid w:val="00DC223D"/>
    <w:rsid w:val="00DC230C"/>
    <w:rsid w:val="00DC2321"/>
    <w:rsid w:val="00DC275E"/>
    <w:rsid w:val="00DC27CD"/>
    <w:rsid w:val="00DC29D4"/>
    <w:rsid w:val="00DC2AEF"/>
    <w:rsid w:val="00DC2BDB"/>
    <w:rsid w:val="00DC2C38"/>
    <w:rsid w:val="00DC2C4B"/>
    <w:rsid w:val="00DC313E"/>
    <w:rsid w:val="00DC3535"/>
    <w:rsid w:val="00DC36B1"/>
    <w:rsid w:val="00DC36C0"/>
    <w:rsid w:val="00DC3760"/>
    <w:rsid w:val="00DC3925"/>
    <w:rsid w:val="00DC3BB9"/>
    <w:rsid w:val="00DC3C11"/>
    <w:rsid w:val="00DC3C9F"/>
    <w:rsid w:val="00DC3DFA"/>
    <w:rsid w:val="00DC3E06"/>
    <w:rsid w:val="00DC402E"/>
    <w:rsid w:val="00DC40A7"/>
    <w:rsid w:val="00DC413B"/>
    <w:rsid w:val="00DC444F"/>
    <w:rsid w:val="00DC467B"/>
    <w:rsid w:val="00DC4737"/>
    <w:rsid w:val="00DC4756"/>
    <w:rsid w:val="00DC4865"/>
    <w:rsid w:val="00DC4A19"/>
    <w:rsid w:val="00DC4A49"/>
    <w:rsid w:val="00DC4E47"/>
    <w:rsid w:val="00DC4F65"/>
    <w:rsid w:val="00DC503E"/>
    <w:rsid w:val="00DC5044"/>
    <w:rsid w:val="00DC5051"/>
    <w:rsid w:val="00DC5096"/>
    <w:rsid w:val="00DC517C"/>
    <w:rsid w:val="00DC51E1"/>
    <w:rsid w:val="00DC5338"/>
    <w:rsid w:val="00DC5466"/>
    <w:rsid w:val="00DC57A1"/>
    <w:rsid w:val="00DC5808"/>
    <w:rsid w:val="00DC5917"/>
    <w:rsid w:val="00DC5E6B"/>
    <w:rsid w:val="00DC6379"/>
    <w:rsid w:val="00DC6406"/>
    <w:rsid w:val="00DC67CC"/>
    <w:rsid w:val="00DC6AAD"/>
    <w:rsid w:val="00DC7479"/>
    <w:rsid w:val="00DC7789"/>
    <w:rsid w:val="00DC78A8"/>
    <w:rsid w:val="00DC7977"/>
    <w:rsid w:val="00DC7C4C"/>
    <w:rsid w:val="00DC7CB4"/>
    <w:rsid w:val="00DC7DD5"/>
    <w:rsid w:val="00DC7E14"/>
    <w:rsid w:val="00DC7FAE"/>
    <w:rsid w:val="00DD00A1"/>
    <w:rsid w:val="00DD047C"/>
    <w:rsid w:val="00DD0557"/>
    <w:rsid w:val="00DD05E5"/>
    <w:rsid w:val="00DD0744"/>
    <w:rsid w:val="00DD086F"/>
    <w:rsid w:val="00DD0BCB"/>
    <w:rsid w:val="00DD0D84"/>
    <w:rsid w:val="00DD1221"/>
    <w:rsid w:val="00DD1B9C"/>
    <w:rsid w:val="00DD2309"/>
    <w:rsid w:val="00DD2447"/>
    <w:rsid w:val="00DD2559"/>
    <w:rsid w:val="00DD286A"/>
    <w:rsid w:val="00DD2981"/>
    <w:rsid w:val="00DD2BDA"/>
    <w:rsid w:val="00DD2EBA"/>
    <w:rsid w:val="00DD306C"/>
    <w:rsid w:val="00DD3151"/>
    <w:rsid w:val="00DD3170"/>
    <w:rsid w:val="00DD31F1"/>
    <w:rsid w:val="00DD3337"/>
    <w:rsid w:val="00DD3365"/>
    <w:rsid w:val="00DD337C"/>
    <w:rsid w:val="00DD3441"/>
    <w:rsid w:val="00DD34E3"/>
    <w:rsid w:val="00DD3615"/>
    <w:rsid w:val="00DD364D"/>
    <w:rsid w:val="00DD3944"/>
    <w:rsid w:val="00DD3B16"/>
    <w:rsid w:val="00DD3CA9"/>
    <w:rsid w:val="00DD3D42"/>
    <w:rsid w:val="00DD3D7E"/>
    <w:rsid w:val="00DD3E37"/>
    <w:rsid w:val="00DD3E4D"/>
    <w:rsid w:val="00DD3EFF"/>
    <w:rsid w:val="00DD3F3C"/>
    <w:rsid w:val="00DD3FD0"/>
    <w:rsid w:val="00DD3FDF"/>
    <w:rsid w:val="00DD4113"/>
    <w:rsid w:val="00DD42D0"/>
    <w:rsid w:val="00DD4396"/>
    <w:rsid w:val="00DD43EE"/>
    <w:rsid w:val="00DD4507"/>
    <w:rsid w:val="00DD4535"/>
    <w:rsid w:val="00DD4551"/>
    <w:rsid w:val="00DD493F"/>
    <w:rsid w:val="00DD49DB"/>
    <w:rsid w:val="00DD4A43"/>
    <w:rsid w:val="00DD4A46"/>
    <w:rsid w:val="00DD4F44"/>
    <w:rsid w:val="00DD50C2"/>
    <w:rsid w:val="00DD55E6"/>
    <w:rsid w:val="00DD59F0"/>
    <w:rsid w:val="00DD5C3C"/>
    <w:rsid w:val="00DD5C70"/>
    <w:rsid w:val="00DD5CC7"/>
    <w:rsid w:val="00DD5DFC"/>
    <w:rsid w:val="00DD5E8C"/>
    <w:rsid w:val="00DD5EFA"/>
    <w:rsid w:val="00DD6179"/>
    <w:rsid w:val="00DD6265"/>
    <w:rsid w:val="00DD62B1"/>
    <w:rsid w:val="00DD638F"/>
    <w:rsid w:val="00DD6631"/>
    <w:rsid w:val="00DD6696"/>
    <w:rsid w:val="00DD69D4"/>
    <w:rsid w:val="00DD6A8D"/>
    <w:rsid w:val="00DD6B79"/>
    <w:rsid w:val="00DD6BB0"/>
    <w:rsid w:val="00DD6C3A"/>
    <w:rsid w:val="00DD6C72"/>
    <w:rsid w:val="00DD6DA8"/>
    <w:rsid w:val="00DD6DE6"/>
    <w:rsid w:val="00DD6F72"/>
    <w:rsid w:val="00DD6F9A"/>
    <w:rsid w:val="00DD7114"/>
    <w:rsid w:val="00DD714D"/>
    <w:rsid w:val="00DD719F"/>
    <w:rsid w:val="00DD741E"/>
    <w:rsid w:val="00DD768F"/>
    <w:rsid w:val="00DD7708"/>
    <w:rsid w:val="00DD7C7F"/>
    <w:rsid w:val="00DE00BE"/>
    <w:rsid w:val="00DE0142"/>
    <w:rsid w:val="00DE0319"/>
    <w:rsid w:val="00DE0380"/>
    <w:rsid w:val="00DE08BE"/>
    <w:rsid w:val="00DE0D93"/>
    <w:rsid w:val="00DE0E9A"/>
    <w:rsid w:val="00DE0ED1"/>
    <w:rsid w:val="00DE1022"/>
    <w:rsid w:val="00DE1160"/>
    <w:rsid w:val="00DE1672"/>
    <w:rsid w:val="00DE181B"/>
    <w:rsid w:val="00DE18F6"/>
    <w:rsid w:val="00DE194F"/>
    <w:rsid w:val="00DE1992"/>
    <w:rsid w:val="00DE1A68"/>
    <w:rsid w:val="00DE1A98"/>
    <w:rsid w:val="00DE1B6C"/>
    <w:rsid w:val="00DE1C33"/>
    <w:rsid w:val="00DE1E02"/>
    <w:rsid w:val="00DE219E"/>
    <w:rsid w:val="00DE2216"/>
    <w:rsid w:val="00DE249C"/>
    <w:rsid w:val="00DE25DC"/>
    <w:rsid w:val="00DE2763"/>
    <w:rsid w:val="00DE2B48"/>
    <w:rsid w:val="00DE2B81"/>
    <w:rsid w:val="00DE2B83"/>
    <w:rsid w:val="00DE2CB4"/>
    <w:rsid w:val="00DE2E08"/>
    <w:rsid w:val="00DE2E2B"/>
    <w:rsid w:val="00DE2E9C"/>
    <w:rsid w:val="00DE2FAB"/>
    <w:rsid w:val="00DE3067"/>
    <w:rsid w:val="00DE35D1"/>
    <w:rsid w:val="00DE35D2"/>
    <w:rsid w:val="00DE3667"/>
    <w:rsid w:val="00DE374D"/>
    <w:rsid w:val="00DE3845"/>
    <w:rsid w:val="00DE3914"/>
    <w:rsid w:val="00DE3A08"/>
    <w:rsid w:val="00DE3A53"/>
    <w:rsid w:val="00DE3BCD"/>
    <w:rsid w:val="00DE3C77"/>
    <w:rsid w:val="00DE3CFB"/>
    <w:rsid w:val="00DE3E8D"/>
    <w:rsid w:val="00DE3F64"/>
    <w:rsid w:val="00DE403D"/>
    <w:rsid w:val="00DE42D1"/>
    <w:rsid w:val="00DE434F"/>
    <w:rsid w:val="00DE4456"/>
    <w:rsid w:val="00DE44C8"/>
    <w:rsid w:val="00DE46E4"/>
    <w:rsid w:val="00DE4805"/>
    <w:rsid w:val="00DE49DF"/>
    <w:rsid w:val="00DE4BCB"/>
    <w:rsid w:val="00DE4E48"/>
    <w:rsid w:val="00DE50EE"/>
    <w:rsid w:val="00DE5111"/>
    <w:rsid w:val="00DE5145"/>
    <w:rsid w:val="00DE5309"/>
    <w:rsid w:val="00DE58D4"/>
    <w:rsid w:val="00DE59C4"/>
    <w:rsid w:val="00DE5AEC"/>
    <w:rsid w:val="00DE5B42"/>
    <w:rsid w:val="00DE5B7D"/>
    <w:rsid w:val="00DE5B91"/>
    <w:rsid w:val="00DE5D43"/>
    <w:rsid w:val="00DE5D61"/>
    <w:rsid w:val="00DE6002"/>
    <w:rsid w:val="00DE6034"/>
    <w:rsid w:val="00DE62A6"/>
    <w:rsid w:val="00DE6502"/>
    <w:rsid w:val="00DE68DC"/>
    <w:rsid w:val="00DE6A82"/>
    <w:rsid w:val="00DE6AD7"/>
    <w:rsid w:val="00DE6B48"/>
    <w:rsid w:val="00DE6B4F"/>
    <w:rsid w:val="00DE70F1"/>
    <w:rsid w:val="00DE728F"/>
    <w:rsid w:val="00DE7305"/>
    <w:rsid w:val="00DE736C"/>
    <w:rsid w:val="00DE740F"/>
    <w:rsid w:val="00DE75AD"/>
    <w:rsid w:val="00DE76A7"/>
    <w:rsid w:val="00DE77BE"/>
    <w:rsid w:val="00DE78F1"/>
    <w:rsid w:val="00DE7938"/>
    <w:rsid w:val="00DE7947"/>
    <w:rsid w:val="00DE7FF6"/>
    <w:rsid w:val="00DF0195"/>
    <w:rsid w:val="00DF0325"/>
    <w:rsid w:val="00DF04E9"/>
    <w:rsid w:val="00DF04EA"/>
    <w:rsid w:val="00DF0581"/>
    <w:rsid w:val="00DF05F3"/>
    <w:rsid w:val="00DF0678"/>
    <w:rsid w:val="00DF0899"/>
    <w:rsid w:val="00DF0A93"/>
    <w:rsid w:val="00DF0B95"/>
    <w:rsid w:val="00DF0CEC"/>
    <w:rsid w:val="00DF0DE7"/>
    <w:rsid w:val="00DF0FA2"/>
    <w:rsid w:val="00DF11E4"/>
    <w:rsid w:val="00DF140D"/>
    <w:rsid w:val="00DF1425"/>
    <w:rsid w:val="00DF1803"/>
    <w:rsid w:val="00DF1941"/>
    <w:rsid w:val="00DF1A46"/>
    <w:rsid w:val="00DF1B3D"/>
    <w:rsid w:val="00DF1CA2"/>
    <w:rsid w:val="00DF1EBC"/>
    <w:rsid w:val="00DF2261"/>
    <w:rsid w:val="00DF22DA"/>
    <w:rsid w:val="00DF23BF"/>
    <w:rsid w:val="00DF241A"/>
    <w:rsid w:val="00DF26DC"/>
    <w:rsid w:val="00DF2701"/>
    <w:rsid w:val="00DF283E"/>
    <w:rsid w:val="00DF29CD"/>
    <w:rsid w:val="00DF2C14"/>
    <w:rsid w:val="00DF2CAE"/>
    <w:rsid w:val="00DF2D98"/>
    <w:rsid w:val="00DF2E7F"/>
    <w:rsid w:val="00DF3026"/>
    <w:rsid w:val="00DF30E8"/>
    <w:rsid w:val="00DF320C"/>
    <w:rsid w:val="00DF326F"/>
    <w:rsid w:val="00DF327D"/>
    <w:rsid w:val="00DF3338"/>
    <w:rsid w:val="00DF361B"/>
    <w:rsid w:val="00DF3662"/>
    <w:rsid w:val="00DF36B5"/>
    <w:rsid w:val="00DF3B65"/>
    <w:rsid w:val="00DF3DA8"/>
    <w:rsid w:val="00DF3F1C"/>
    <w:rsid w:val="00DF406E"/>
    <w:rsid w:val="00DF4257"/>
    <w:rsid w:val="00DF4420"/>
    <w:rsid w:val="00DF447A"/>
    <w:rsid w:val="00DF4600"/>
    <w:rsid w:val="00DF46B1"/>
    <w:rsid w:val="00DF46CD"/>
    <w:rsid w:val="00DF4718"/>
    <w:rsid w:val="00DF472E"/>
    <w:rsid w:val="00DF474E"/>
    <w:rsid w:val="00DF483F"/>
    <w:rsid w:val="00DF4A87"/>
    <w:rsid w:val="00DF4B8F"/>
    <w:rsid w:val="00DF4DC5"/>
    <w:rsid w:val="00DF4FF0"/>
    <w:rsid w:val="00DF50EF"/>
    <w:rsid w:val="00DF532B"/>
    <w:rsid w:val="00DF57F6"/>
    <w:rsid w:val="00DF58D8"/>
    <w:rsid w:val="00DF5903"/>
    <w:rsid w:val="00DF5A60"/>
    <w:rsid w:val="00DF5F68"/>
    <w:rsid w:val="00DF60ED"/>
    <w:rsid w:val="00DF6141"/>
    <w:rsid w:val="00DF6297"/>
    <w:rsid w:val="00DF6661"/>
    <w:rsid w:val="00DF6734"/>
    <w:rsid w:val="00DF673C"/>
    <w:rsid w:val="00DF675A"/>
    <w:rsid w:val="00DF689C"/>
    <w:rsid w:val="00DF6995"/>
    <w:rsid w:val="00DF6A0E"/>
    <w:rsid w:val="00DF6A4E"/>
    <w:rsid w:val="00DF6CF3"/>
    <w:rsid w:val="00DF6E67"/>
    <w:rsid w:val="00DF6EA0"/>
    <w:rsid w:val="00DF6F61"/>
    <w:rsid w:val="00DF7088"/>
    <w:rsid w:val="00DF7221"/>
    <w:rsid w:val="00DF723B"/>
    <w:rsid w:val="00DF7252"/>
    <w:rsid w:val="00DF72D3"/>
    <w:rsid w:val="00DF73E7"/>
    <w:rsid w:val="00DF7532"/>
    <w:rsid w:val="00DF77A4"/>
    <w:rsid w:val="00DF7A9E"/>
    <w:rsid w:val="00DF7C9E"/>
    <w:rsid w:val="00DF7CB2"/>
    <w:rsid w:val="00DF7FE4"/>
    <w:rsid w:val="00E000A6"/>
    <w:rsid w:val="00E0011F"/>
    <w:rsid w:val="00E0015C"/>
    <w:rsid w:val="00E00230"/>
    <w:rsid w:val="00E00268"/>
    <w:rsid w:val="00E00342"/>
    <w:rsid w:val="00E00695"/>
    <w:rsid w:val="00E0069B"/>
    <w:rsid w:val="00E006FC"/>
    <w:rsid w:val="00E00848"/>
    <w:rsid w:val="00E00854"/>
    <w:rsid w:val="00E00943"/>
    <w:rsid w:val="00E00BA0"/>
    <w:rsid w:val="00E00BF6"/>
    <w:rsid w:val="00E00CB1"/>
    <w:rsid w:val="00E00F73"/>
    <w:rsid w:val="00E01590"/>
    <w:rsid w:val="00E01812"/>
    <w:rsid w:val="00E01868"/>
    <w:rsid w:val="00E0186D"/>
    <w:rsid w:val="00E018D1"/>
    <w:rsid w:val="00E019FC"/>
    <w:rsid w:val="00E01B74"/>
    <w:rsid w:val="00E01C63"/>
    <w:rsid w:val="00E01CA7"/>
    <w:rsid w:val="00E01E6B"/>
    <w:rsid w:val="00E0201B"/>
    <w:rsid w:val="00E021D7"/>
    <w:rsid w:val="00E0222A"/>
    <w:rsid w:val="00E02280"/>
    <w:rsid w:val="00E02397"/>
    <w:rsid w:val="00E0249F"/>
    <w:rsid w:val="00E02561"/>
    <w:rsid w:val="00E027E1"/>
    <w:rsid w:val="00E02B8B"/>
    <w:rsid w:val="00E02C0D"/>
    <w:rsid w:val="00E02C9A"/>
    <w:rsid w:val="00E02E53"/>
    <w:rsid w:val="00E030B0"/>
    <w:rsid w:val="00E0317B"/>
    <w:rsid w:val="00E033CE"/>
    <w:rsid w:val="00E034C3"/>
    <w:rsid w:val="00E036FB"/>
    <w:rsid w:val="00E0376E"/>
    <w:rsid w:val="00E037AE"/>
    <w:rsid w:val="00E03965"/>
    <w:rsid w:val="00E0397D"/>
    <w:rsid w:val="00E03A4C"/>
    <w:rsid w:val="00E03AF7"/>
    <w:rsid w:val="00E03CB5"/>
    <w:rsid w:val="00E03CE0"/>
    <w:rsid w:val="00E03D1E"/>
    <w:rsid w:val="00E03E1D"/>
    <w:rsid w:val="00E03EB9"/>
    <w:rsid w:val="00E0416A"/>
    <w:rsid w:val="00E04262"/>
    <w:rsid w:val="00E042AE"/>
    <w:rsid w:val="00E0473B"/>
    <w:rsid w:val="00E04794"/>
    <w:rsid w:val="00E04860"/>
    <w:rsid w:val="00E0489B"/>
    <w:rsid w:val="00E04A4F"/>
    <w:rsid w:val="00E04BF0"/>
    <w:rsid w:val="00E04CEF"/>
    <w:rsid w:val="00E05094"/>
    <w:rsid w:val="00E05129"/>
    <w:rsid w:val="00E0513E"/>
    <w:rsid w:val="00E051AE"/>
    <w:rsid w:val="00E051EA"/>
    <w:rsid w:val="00E05366"/>
    <w:rsid w:val="00E053B8"/>
    <w:rsid w:val="00E054C9"/>
    <w:rsid w:val="00E0553E"/>
    <w:rsid w:val="00E05576"/>
    <w:rsid w:val="00E055AB"/>
    <w:rsid w:val="00E05A44"/>
    <w:rsid w:val="00E05A7B"/>
    <w:rsid w:val="00E05B17"/>
    <w:rsid w:val="00E05B6E"/>
    <w:rsid w:val="00E05B72"/>
    <w:rsid w:val="00E05BEA"/>
    <w:rsid w:val="00E05D1D"/>
    <w:rsid w:val="00E05DB1"/>
    <w:rsid w:val="00E05EF8"/>
    <w:rsid w:val="00E06194"/>
    <w:rsid w:val="00E0662F"/>
    <w:rsid w:val="00E06682"/>
    <w:rsid w:val="00E06A84"/>
    <w:rsid w:val="00E06AE4"/>
    <w:rsid w:val="00E06B10"/>
    <w:rsid w:val="00E06BB3"/>
    <w:rsid w:val="00E06D12"/>
    <w:rsid w:val="00E06DF4"/>
    <w:rsid w:val="00E06FEE"/>
    <w:rsid w:val="00E070E3"/>
    <w:rsid w:val="00E07268"/>
    <w:rsid w:val="00E07540"/>
    <w:rsid w:val="00E07590"/>
    <w:rsid w:val="00E0765E"/>
    <w:rsid w:val="00E07683"/>
    <w:rsid w:val="00E07B50"/>
    <w:rsid w:val="00E07B62"/>
    <w:rsid w:val="00E101C6"/>
    <w:rsid w:val="00E10761"/>
    <w:rsid w:val="00E10983"/>
    <w:rsid w:val="00E109AE"/>
    <w:rsid w:val="00E10B48"/>
    <w:rsid w:val="00E10BB8"/>
    <w:rsid w:val="00E10C21"/>
    <w:rsid w:val="00E10C50"/>
    <w:rsid w:val="00E10E21"/>
    <w:rsid w:val="00E10EA5"/>
    <w:rsid w:val="00E10F5E"/>
    <w:rsid w:val="00E10F63"/>
    <w:rsid w:val="00E11142"/>
    <w:rsid w:val="00E11256"/>
    <w:rsid w:val="00E112C7"/>
    <w:rsid w:val="00E112D4"/>
    <w:rsid w:val="00E114DA"/>
    <w:rsid w:val="00E11664"/>
    <w:rsid w:val="00E11855"/>
    <w:rsid w:val="00E11AF1"/>
    <w:rsid w:val="00E11B77"/>
    <w:rsid w:val="00E11CE6"/>
    <w:rsid w:val="00E11D0D"/>
    <w:rsid w:val="00E11DA4"/>
    <w:rsid w:val="00E11F3F"/>
    <w:rsid w:val="00E123F1"/>
    <w:rsid w:val="00E124BF"/>
    <w:rsid w:val="00E1254C"/>
    <w:rsid w:val="00E125E3"/>
    <w:rsid w:val="00E12926"/>
    <w:rsid w:val="00E12A6F"/>
    <w:rsid w:val="00E12BCA"/>
    <w:rsid w:val="00E12DA6"/>
    <w:rsid w:val="00E12DE3"/>
    <w:rsid w:val="00E12DFE"/>
    <w:rsid w:val="00E12EA4"/>
    <w:rsid w:val="00E12F15"/>
    <w:rsid w:val="00E12F7A"/>
    <w:rsid w:val="00E12FC7"/>
    <w:rsid w:val="00E13051"/>
    <w:rsid w:val="00E13173"/>
    <w:rsid w:val="00E13179"/>
    <w:rsid w:val="00E1319F"/>
    <w:rsid w:val="00E13336"/>
    <w:rsid w:val="00E137C9"/>
    <w:rsid w:val="00E137D5"/>
    <w:rsid w:val="00E13916"/>
    <w:rsid w:val="00E13A42"/>
    <w:rsid w:val="00E13AA8"/>
    <w:rsid w:val="00E13BD0"/>
    <w:rsid w:val="00E13DE0"/>
    <w:rsid w:val="00E13E10"/>
    <w:rsid w:val="00E13E94"/>
    <w:rsid w:val="00E13EE4"/>
    <w:rsid w:val="00E14016"/>
    <w:rsid w:val="00E140EF"/>
    <w:rsid w:val="00E141C2"/>
    <w:rsid w:val="00E1429C"/>
    <w:rsid w:val="00E1439D"/>
    <w:rsid w:val="00E143D8"/>
    <w:rsid w:val="00E14456"/>
    <w:rsid w:val="00E145FF"/>
    <w:rsid w:val="00E1479F"/>
    <w:rsid w:val="00E147FA"/>
    <w:rsid w:val="00E14A08"/>
    <w:rsid w:val="00E14D07"/>
    <w:rsid w:val="00E14E06"/>
    <w:rsid w:val="00E14F1F"/>
    <w:rsid w:val="00E153DC"/>
    <w:rsid w:val="00E155C6"/>
    <w:rsid w:val="00E15642"/>
    <w:rsid w:val="00E1571A"/>
    <w:rsid w:val="00E15A86"/>
    <w:rsid w:val="00E15A8C"/>
    <w:rsid w:val="00E15B1F"/>
    <w:rsid w:val="00E15D41"/>
    <w:rsid w:val="00E15DD0"/>
    <w:rsid w:val="00E160A0"/>
    <w:rsid w:val="00E163AE"/>
    <w:rsid w:val="00E163B4"/>
    <w:rsid w:val="00E165F1"/>
    <w:rsid w:val="00E16628"/>
    <w:rsid w:val="00E16669"/>
    <w:rsid w:val="00E16766"/>
    <w:rsid w:val="00E16808"/>
    <w:rsid w:val="00E1683B"/>
    <w:rsid w:val="00E16849"/>
    <w:rsid w:val="00E1687B"/>
    <w:rsid w:val="00E16A1F"/>
    <w:rsid w:val="00E16A82"/>
    <w:rsid w:val="00E16B6B"/>
    <w:rsid w:val="00E16C74"/>
    <w:rsid w:val="00E16CB6"/>
    <w:rsid w:val="00E16E65"/>
    <w:rsid w:val="00E1728A"/>
    <w:rsid w:val="00E172D0"/>
    <w:rsid w:val="00E177CA"/>
    <w:rsid w:val="00E1794E"/>
    <w:rsid w:val="00E17B1E"/>
    <w:rsid w:val="00E17B3E"/>
    <w:rsid w:val="00E17C5C"/>
    <w:rsid w:val="00E17D5D"/>
    <w:rsid w:val="00E17E39"/>
    <w:rsid w:val="00E17F2D"/>
    <w:rsid w:val="00E20177"/>
    <w:rsid w:val="00E20214"/>
    <w:rsid w:val="00E2022B"/>
    <w:rsid w:val="00E2078A"/>
    <w:rsid w:val="00E20936"/>
    <w:rsid w:val="00E20D5F"/>
    <w:rsid w:val="00E20D7C"/>
    <w:rsid w:val="00E20E17"/>
    <w:rsid w:val="00E211E6"/>
    <w:rsid w:val="00E2120C"/>
    <w:rsid w:val="00E21531"/>
    <w:rsid w:val="00E21612"/>
    <w:rsid w:val="00E21666"/>
    <w:rsid w:val="00E216E9"/>
    <w:rsid w:val="00E21741"/>
    <w:rsid w:val="00E21821"/>
    <w:rsid w:val="00E218FC"/>
    <w:rsid w:val="00E21C33"/>
    <w:rsid w:val="00E22015"/>
    <w:rsid w:val="00E22192"/>
    <w:rsid w:val="00E221A0"/>
    <w:rsid w:val="00E222C9"/>
    <w:rsid w:val="00E223D3"/>
    <w:rsid w:val="00E22473"/>
    <w:rsid w:val="00E2248A"/>
    <w:rsid w:val="00E2261C"/>
    <w:rsid w:val="00E22A1E"/>
    <w:rsid w:val="00E22D51"/>
    <w:rsid w:val="00E22E7D"/>
    <w:rsid w:val="00E22E8E"/>
    <w:rsid w:val="00E22FC2"/>
    <w:rsid w:val="00E230FE"/>
    <w:rsid w:val="00E23330"/>
    <w:rsid w:val="00E2340D"/>
    <w:rsid w:val="00E23455"/>
    <w:rsid w:val="00E234C0"/>
    <w:rsid w:val="00E23596"/>
    <w:rsid w:val="00E23A29"/>
    <w:rsid w:val="00E23B98"/>
    <w:rsid w:val="00E23D21"/>
    <w:rsid w:val="00E23EB1"/>
    <w:rsid w:val="00E24043"/>
    <w:rsid w:val="00E2430F"/>
    <w:rsid w:val="00E2458F"/>
    <w:rsid w:val="00E24649"/>
    <w:rsid w:val="00E24698"/>
    <w:rsid w:val="00E24ACF"/>
    <w:rsid w:val="00E24AD0"/>
    <w:rsid w:val="00E24CDB"/>
    <w:rsid w:val="00E24D08"/>
    <w:rsid w:val="00E24D75"/>
    <w:rsid w:val="00E24E24"/>
    <w:rsid w:val="00E24E5A"/>
    <w:rsid w:val="00E2516B"/>
    <w:rsid w:val="00E25174"/>
    <w:rsid w:val="00E2527B"/>
    <w:rsid w:val="00E25340"/>
    <w:rsid w:val="00E2535C"/>
    <w:rsid w:val="00E2535D"/>
    <w:rsid w:val="00E25447"/>
    <w:rsid w:val="00E257B0"/>
    <w:rsid w:val="00E25845"/>
    <w:rsid w:val="00E2588A"/>
    <w:rsid w:val="00E258C4"/>
    <w:rsid w:val="00E259BF"/>
    <w:rsid w:val="00E25A91"/>
    <w:rsid w:val="00E25B5F"/>
    <w:rsid w:val="00E25BBE"/>
    <w:rsid w:val="00E25BDD"/>
    <w:rsid w:val="00E25E9F"/>
    <w:rsid w:val="00E25FDA"/>
    <w:rsid w:val="00E25FEB"/>
    <w:rsid w:val="00E2600D"/>
    <w:rsid w:val="00E2601B"/>
    <w:rsid w:val="00E261B7"/>
    <w:rsid w:val="00E262E6"/>
    <w:rsid w:val="00E2650E"/>
    <w:rsid w:val="00E2653D"/>
    <w:rsid w:val="00E265DB"/>
    <w:rsid w:val="00E26679"/>
    <w:rsid w:val="00E266AF"/>
    <w:rsid w:val="00E268C8"/>
    <w:rsid w:val="00E268D2"/>
    <w:rsid w:val="00E2697A"/>
    <w:rsid w:val="00E26A28"/>
    <w:rsid w:val="00E26A35"/>
    <w:rsid w:val="00E26CB4"/>
    <w:rsid w:val="00E26ECF"/>
    <w:rsid w:val="00E26F88"/>
    <w:rsid w:val="00E27123"/>
    <w:rsid w:val="00E272A9"/>
    <w:rsid w:val="00E27367"/>
    <w:rsid w:val="00E2754B"/>
    <w:rsid w:val="00E2756A"/>
    <w:rsid w:val="00E2762D"/>
    <w:rsid w:val="00E27671"/>
    <w:rsid w:val="00E27AA8"/>
    <w:rsid w:val="00E27C1B"/>
    <w:rsid w:val="00E301DE"/>
    <w:rsid w:val="00E30204"/>
    <w:rsid w:val="00E30250"/>
    <w:rsid w:val="00E30415"/>
    <w:rsid w:val="00E30607"/>
    <w:rsid w:val="00E30754"/>
    <w:rsid w:val="00E30837"/>
    <w:rsid w:val="00E308B9"/>
    <w:rsid w:val="00E30949"/>
    <w:rsid w:val="00E30AB7"/>
    <w:rsid w:val="00E30BDD"/>
    <w:rsid w:val="00E30C12"/>
    <w:rsid w:val="00E30C90"/>
    <w:rsid w:val="00E30DAD"/>
    <w:rsid w:val="00E30FC1"/>
    <w:rsid w:val="00E313E5"/>
    <w:rsid w:val="00E31588"/>
    <w:rsid w:val="00E31688"/>
    <w:rsid w:val="00E3173D"/>
    <w:rsid w:val="00E31887"/>
    <w:rsid w:val="00E3197E"/>
    <w:rsid w:val="00E31A87"/>
    <w:rsid w:val="00E31A95"/>
    <w:rsid w:val="00E31C27"/>
    <w:rsid w:val="00E31CC3"/>
    <w:rsid w:val="00E31D1C"/>
    <w:rsid w:val="00E31DAB"/>
    <w:rsid w:val="00E31E56"/>
    <w:rsid w:val="00E31F32"/>
    <w:rsid w:val="00E32101"/>
    <w:rsid w:val="00E322E0"/>
    <w:rsid w:val="00E324A1"/>
    <w:rsid w:val="00E324E7"/>
    <w:rsid w:val="00E32512"/>
    <w:rsid w:val="00E327BE"/>
    <w:rsid w:val="00E32C0E"/>
    <w:rsid w:val="00E32C51"/>
    <w:rsid w:val="00E32CA4"/>
    <w:rsid w:val="00E32D18"/>
    <w:rsid w:val="00E32DBF"/>
    <w:rsid w:val="00E33142"/>
    <w:rsid w:val="00E3332C"/>
    <w:rsid w:val="00E3370F"/>
    <w:rsid w:val="00E33811"/>
    <w:rsid w:val="00E338A7"/>
    <w:rsid w:val="00E338D2"/>
    <w:rsid w:val="00E3396F"/>
    <w:rsid w:val="00E33B5A"/>
    <w:rsid w:val="00E33D41"/>
    <w:rsid w:val="00E33D58"/>
    <w:rsid w:val="00E33F73"/>
    <w:rsid w:val="00E33FFE"/>
    <w:rsid w:val="00E345DD"/>
    <w:rsid w:val="00E346FD"/>
    <w:rsid w:val="00E34826"/>
    <w:rsid w:val="00E34839"/>
    <w:rsid w:val="00E348FC"/>
    <w:rsid w:val="00E34930"/>
    <w:rsid w:val="00E349A7"/>
    <w:rsid w:val="00E34A7C"/>
    <w:rsid w:val="00E34B61"/>
    <w:rsid w:val="00E34D24"/>
    <w:rsid w:val="00E34FDF"/>
    <w:rsid w:val="00E351A2"/>
    <w:rsid w:val="00E352B2"/>
    <w:rsid w:val="00E35397"/>
    <w:rsid w:val="00E35828"/>
    <w:rsid w:val="00E358C0"/>
    <w:rsid w:val="00E3595E"/>
    <w:rsid w:val="00E35963"/>
    <w:rsid w:val="00E35B12"/>
    <w:rsid w:val="00E35CDE"/>
    <w:rsid w:val="00E35D2B"/>
    <w:rsid w:val="00E35D74"/>
    <w:rsid w:val="00E35DEB"/>
    <w:rsid w:val="00E35E90"/>
    <w:rsid w:val="00E35FE4"/>
    <w:rsid w:val="00E36277"/>
    <w:rsid w:val="00E362C3"/>
    <w:rsid w:val="00E362F2"/>
    <w:rsid w:val="00E3663C"/>
    <w:rsid w:val="00E36BE3"/>
    <w:rsid w:val="00E36C56"/>
    <w:rsid w:val="00E36DF2"/>
    <w:rsid w:val="00E36E47"/>
    <w:rsid w:val="00E36EB3"/>
    <w:rsid w:val="00E36FD3"/>
    <w:rsid w:val="00E37035"/>
    <w:rsid w:val="00E37057"/>
    <w:rsid w:val="00E371A8"/>
    <w:rsid w:val="00E3737A"/>
    <w:rsid w:val="00E37999"/>
    <w:rsid w:val="00E379FB"/>
    <w:rsid w:val="00E37AA0"/>
    <w:rsid w:val="00E37C6D"/>
    <w:rsid w:val="00E40061"/>
    <w:rsid w:val="00E4010E"/>
    <w:rsid w:val="00E403B5"/>
    <w:rsid w:val="00E403C7"/>
    <w:rsid w:val="00E4041C"/>
    <w:rsid w:val="00E404D4"/>
    <w:rsid w:val="00E40563"/>
    <w:rsid w:val="00E4088A"/>
    <w:rsid w:val="00E409D2"/>
    <w:rsid w:val="00E40AE3"/>
    <w:rsid w:val="00E40BED"/>
    <w:rsid w:val="00E40C4A"/>
    <w:rsid w:val="00E40DBF"/>
    <w:rsid w:val="00E40E98"/>
    <w:rsid w:val="00E40F05"/>
    <w:rsid w:val="00E40F29"/>
    <w:rsid w:val="00E40FC7"/>
    <w:rsid w:val="00E41000"/>
    <w:rsid w:val="00E41528"/>
    <w:rsid w:val="00E41612"/>
    <w:rsid w:val="00E41969"/>
    <w:rsid w:val="00E41D7B"/>
    <w:rsid w:val="00E42148"/>
    <w:rsid w:val="00E42163"/>
    <w:rsid w:val="00E423A1"/>
    <w:rsid w:val="00E42591"/>
    <w:rsid w:val="00E4268B"/>
    <w:rsid w:val="00E427BB"/>
    <w:rsid w:val="00E42AD8"/>
    <w:rsid w:val="00E42AEF"/>
    <w:rsid w:val="00E42BC9"/>
    <w:rsid w:val="00E42E98"/>
    <w:rsid w:val="00E42EF2"/>
    <w:rsid w:val="00E42F81"/>
    <w:rsid w:val="00E4305E"/>
    <w:rsid w:val="00E43153"/>
    <w:rsid w:val="00E4330B"/>
    <w:rsid w:val="00E4355A"/>
    <w:rsid w:val="00E4356B"/>
    <w:rsid w:val="00E43726"/>
    <w:rsid w:val="00E439A6"/>
    <w:rsid w:val="00E439BE"/>
    <w:rsid w:val="00E43D99"/>
    <w:rsid w:val="00E43F81"/>
    <w:rsid w:val="00E43FED"/>
    <w:rsid w:val="00E44272"/>
    <w:rsid w:val="00E443F8"/>
    <w:rsid w:val="00E44533"/>
    <w:rsid w:val="00E445D8"/>
    <w:rsid w:val="00E44686"/>
    <w:rsid w:val="00E446D0"/>
    <w:rsid w:val="00E4481E"/>
    <w:rsid w:val="00E44937"/>
    <w:rsid w:val="00E44AFD"/>
    <w:rsid w:val="00E44B60"/>
    <w:rsid w:val="00E44C0E"/>
    <w:rsid w:val="00E44DC8"/>
    <w:rsid w:val="00E45043"/>
    <w:rsid w:val="00E4520C"/>
    <w:rsid w:val="00E45381"/>
    <w:rsid w:val="00E453A8"/>
    <w:rsid w:val="00E454A2"/>
    <w:rsid w:val="00E454C4"/>
    <w:rsid w:val="00E45512"/>
    <w:rsid w:val="00E45B06"/>
    <w:rsid w:val="00E45E48"/>
    <w:rsid w:val="00E46070"/>
    <w:rsid w:val="00E461EF"/>
    <w:rsid w:val="00E4655F"/>
    <w:rsid w:val="00E4667C"/>
    <w:rsid w:val="00E46717"/>
    <w:rsid w:val="00E469AD"/>
    <w:rsid w:val="00E46C86"/>
    <w:rsid w:val="00E46D9B"/>
    <w:rsid w:val="00E47018"/>
    <w:rsid w:val="00E47027"/>
    <w:rsid w:val="00E47436"/>
    <w:rsid w:val="00E4767E"/>
    <w:rsid w:val="00E4770A"/>
    <w:rsid w:val="00E4771C"/>
    <w:rsid w:val="00E47762"/>
    <w:rsid w:val="00E477A6"/>
    <w:rsid w:val="00E478B9"/>
    <w:rsid w:val="00E479C3"/>
    <w:rsid w:val="00E47D7A"/>
    <w:rsid w:val="00E47DDC"/>
    <w:rsid w:val="00E500FA"/>
    <w:rsid w:val="00E50178"/>
    <w:rsid w:val="00E501AE"/>
    <w:rsid w:val="00E5049A"/>
    <w:rsid w:val="00E505E5"/>
    <w:rsid w:val="00E5064F"/>
    <w:rsid w:val="00E506AF"/>
    <w:rsid w:val="00E5079E"/>
    <w:rsid w:val="00E508CB"/>
    <w:rsid w:val="00E50A36"/>
    <w:rsid w:val="00E50B9C"/>
    <w:rsid w:val="00E50BF2"/>
    <w:rsid w:val="00E50C67"/>
    <w:rsid w:val="00E50DD7"/>
    <w:rsid w:val="00E50E15"/>
    <w:rsid w:val="00E50E6A"/>
    <w:rsid w:val="00E50E7C"/>
    <w:rsid w:val="00E510FC"/>
    <w:rsid w:val="00E51182"/>
    <w:rsid w:val="00E51261"/>
    <w:rsid w:val="00E514D7"/>
    <w:rsid w:val="00E51545"/>
    <w:rsid w:val="00E516AC"/>
    <w:rsid w:val="00E5191A"/>
    <w:rsid w:val="00E5198E"/>
    <w:rsid w:val="00E51AF5"/>
    <w:rsid w:val="00E51D9E"/>
    <w:rsid w:val="00E51E05"/>
    <w:rsid w:val="00E5203B"/>
    <w:rsid w:val="00E52078"/>
    <w:rsid w:val="00E520CE"/>
    <w:rsid w:val="00E52148"/>
    <w:rsid w:val="00E52197"/>
    <w:rsid w:val="00E5225E"/>
    <w:rsid w:val="00E5238B"/>
    <w:rsid w:val="00E523B8"/>
    <w:rsid w:val="00E523E6"/>
    <w:rsid w:val="00E52442"/>
    <w:rsid w:val="00E52750"/>
    <w:rsid w:val="00E52B4A"/>
    <w:rsid w:val="00E52F5D"/>
    <w:rsid w:val="00E5322E"/>
    <w:rsid w:val="00E533C6"/>
    <w:rsid w:val="00E534EE"/>
    <w:rsid w:val="00E53519"/>
    <w:rsid w:val="00E53580"/>
    <w:rsid w:val="00E53594"/>
    <w:rsid w:val="00E535E8"/>
    <w:rsid w:val="00E537B2"/>
    <w:rsid w:val="00E537D1"/>
    <w:rsid w:val="00E5388E"/>
    <w:rsid w:val="00E53CFD"/>
    <w:rsid w:val="00E53D0F"/>
    <w:rsid w:val="00E53FC5"/>
    <w:rsid w:val="00E53FD3"/>
    <w:rsid w:val="00E540B6"/>
    <w:rsid w:val="00E54143"/>
    <w:rsid w:val="00E54197"/>
    <w:rsid w:val="00E54584"/>
    <w:rsid w:val="00E54A9E"/>
    <w:rsid w:val="00E54B75"/>
    <w:rsid w:val="00E54C62"/>
    <w:rsid w:val="00E552F6"/>
    <w:rsid w:val="00E552FC"/>
    <w:rsid w:val="00E55538"/>
    <w:rsid w:val="00E55CE0"/>
    <w:rsid w:val="00E55FF4"/>
    <w:rsid w:val="00E56045"/>
    <w:rsid w:val="00E560DA"/>
    <w:rsid w:val="00E56267"/>
    <w:rsid w:val="00E56484"/>
    <w:rsid w:val="00E567E6"/>
    <w:rsid w:val="00E56895"/>
    <w:rsid w:val="00E56971"/>
    <w:rsid w:val="00E56A88"/>
    <w:rsid w:val="00E56C4C"/>
    <w:rsid w:val="00E56DCB"/>
    <w:rsid w:val="00E57141"/>
    <w:rsid w:val="00E575A8"/>
    <w:rsid w:val="00E5798B"/>
    <w:rsid w:val="00E57AB7"/>
    <w:rsid w:val="00E57C42"/>
    <w:rsid w:val="00E57C9F"/>
    <w:rsid w:val="00E57D43"/>
    <w:rsid w:val="00E57D68"/>
    <w:rsid w:val="00E57D9A"/>
    <w:rsid w:val="00E57E0D"/>
    <w:rsid w:val="00E57E53"/>
    <w:rsid w:val="00E57F38"/>
    <w:rsid w:val="00E57FF2"/>
    <w:rsid w:val="00E60333"/>
    <w:rsid w:val="00E603AB"/>
    <w:rsid w:val="00E60557"/>
    <w:rsid w:val="00E60732"/>
    <w:rsid w:val="00E607BF"/>
    <w:rsid w:val="00E609B6"/>
    <w:rsid w:val="00E60A69"/>
    <w:rsid w:val="00E60D9A"/>
    <w:rsid w:val="00E60E92"/>
    <w:rsid w:val="00E60F92"/>
    <w:rsid w:val="00E610F0"/>
    <w:rsid w:val="00E612D9"/>
    <w:rsid w:val="00E613A5"/>
    <w:rsid w:val="00E61484"/>
    <w:rsid w:val="00E614A8"/>
    <w:rsid w:val="00E616DE"/>
    <w:rsid w:val="00E616F6"/>
    <w:rsid w:val="00E6170C"/>
    <w:rsid w:val="00E61754"/>
    <w:rsid w:val="00E618FC"/>
    <w:rsid w:val="00E61ACA"/>
    <w:rsid w:val="00E61CF3"/>
    <w:rsid w:val="00E61D43"/>
    <w:rsid w:val="00E61E23"/>
    <w:rsid w:val="00E6203A"/>
    <w:rsid w:val="00E6221E"/>
    <w:rsid w:val="00E62269"/>
    <w:rsid w:val="00E6241C"/>
    <w:rsid w:val="00E624C5"/>
    <w:rsid w:val="00E624F9"/>
    <w:rsid w:val="00E62802"/>
    <w:rsid w:val="00E62952"/>
    <w:rsid w:val="00E62959"/>
    <w:rsid w:val="00E62C1D"/>
    <w:rsid w:val="00E632D8"/>
    <w:rsid w:val="00E6346B"/>
    <w:rsid w:val="00E635D6"/>
    <w:rsid w:val="00E6373D"/>
    <w:rsid w:val="00E637A7"/>
    <w:rsid w:val="00E6383E"/>
    <w:rsid w:val="00E6392B"/>
    <w:rsid w:val="00E63D5D"/>
    <w:rsid w:val="00E63FAF"/>
    <w:rsid w:val="00E6400E"/>
    <w:rsid w:val="00E64107"/>
    <w:rsid w:val="00E64256"/>
    <w:rsid w:val="00E64291"/>
    <w:rsid w:val="00E64476"/>
    <w:rsid w:val="00E645F9"/>
    <w:rsid w:val="00E646C9"/>
    <w:rsid w:val="00E646FA"/>
    <w:rsid w:val="00E64807"/>
    <w:rsid w:val="00E6483B"/>
    <w:rsid w:val="00E649DF"/>
    <w:rsid w:val="00E64DE0"/>
    <w:rsid w:val="00E64DE5"/>
    <w:rsid w:val="00E64F7A"/>
    <w:rsid w:val="00E650FA"/>
    <w:rsid w:val="00E65171"/>
    <w:rsid w:val="00E651E5"/>
    <w:rsid w:val="00E65214"/>
    <w:rsid w:val="00E656BD"/>
    <w:rsid w:val="00E65776"/>
    <w:rsid w:val="00E657B6"/>
    <w:rsid w:val="00E65800"/>
    <w:rsid w:val="00E65A04"/>
    <w:rsid w:val="00E65BF2"/>
    <w:rsid w:val="00E6600E"/>
    <w:rsid w:val="00E6602F"/>
    <w:rsid w:val="00E662A1"/>
    <w:rsid w:val="00E663CE"/>
    <w:rsid w:val="00E664D3"/>
    <w:rsid w:val="00E66640"/>
    <w:rsid w:val="00E66698"/>
    <w:rsid w:val="00E6687D"/>
    <w:rsid w:val="00E66AD2"/>
    <w:rsid w:val="00E66C99"/>
    <w:rsid w:val="00E670CA"/>
    <w:rsid w:val="00E67162"/>
    <w:rsid w:val="00E67182"/>
    <w:rsid w:val="00E67801"/>
    <w:rsid w:val="00E679C6"/>
    <w:rsid w:val="00E67BAE"/>
    <w:rsid w:val="00E67F89"/>
    <w:rsid w:val="00E700A2"/>
    <w:rsid w:val="00E7017C"/>
    <w:rsid w:val="00E70471"/>
    <w:rsid w:val="00E704D7"/>
    <w:rsid w:val="00E7059A"/>
    <w:rsid w:val="00E706C3"/>
    <w:rsid w:val="00E7072B"/>
    <w:rsid w:val="00E709C2"/>
    <w:rsid w:val="00E70A1F"/>
    <w:rsid w:val="00E70A8E"/>
    <w:rsid w:val="00E70B13"/>
    <w:rsid w:val="00E70D94"/>
    <w:rsid w:val="00E710AE"/>
    <w:rsid w:val="00E711D7"/>
    <w:rsid w:val="00E71763"/>
    <w:rsid w:val="00E71919"/>
    <w:rsid w:val="00E7195C"/>
    <w:rsid w:val="00E7197E"/>
    <w:rsid w:val="00E7198A"/>
    <w:rsid w:val="00E71B15"/>
    <w:rsid w:val="00E71C0B"/>
    <w:rsid w:val="00E71C5B"/>
    <w:rsid w:val="00E725F5"/>
    <w:rsid w:val="00E72717"/>
    <w:rsid w:val="00E7283C"/>
    <w:rsid w:val="00E72AAF"/>
    <w:rsid w:val="00E72F61"/>
    <w:rsid w:val="00E7316F"/>
    <w:rsid w:val="00E73588"/>
    <w:rsid w:val="00E73BB6"/>
    <w:rsid w:val="00E73C32"/>
    <w:rsid w:val="00E73ED1"/>
    <w:rsid w:val="00E74046"/>
    <w:rsid w:val="00E74253"/>
    <w:rsid w:val="00E742CA"/>
    <w:rsid w:val="00E74478"/>
    <w:rsid w:val="00E744E8"/>
    <w:rsid w:val="00E745C7"/>
    <w:rsid w:val="00E745FB"/>
    <w:rsid w:val="00E7464B"/>
    <w:rsid w:val="00E74751"/>
    <w:rsid w:val="00E747BF"/>
    <w:rsid w:val="00E74957"/>
    <w:rsid w:val="00E74AD6"/>
    <w:rsid w:val="00E74BBE"/>
    <w:rsid w:val="00E74DBA"/>
    <w:rsid w:val="00E75344"/>
    <w:rsid w:val="00E75361"/>
    <w:rsid w:val="00E7548E"/>
    <w:rsid w:val="00E757E4"/>
    <w:rsid w:val="00E75ACE"/>
    <w:rsid w:val="00E75B3D"/>
    <w:rsid w:val="00E75DA8"/>
    <w:rsid w:val="00E75DCA"/>
    <w:rsid w:val="00E75DF6"/>
    <w:rsid w:val="00E75E06"/>
    <w:rsid w:val="00E75EEC"/>
    <w:rsid w:val="00E76022"/>
    <w:rsid w:val="00E7606F"/>
    <w:rsid w:val="00E7614D"/>
    <w:rsid w:val="00E76310"/>
    <w:rsid w:val="00E7643F"/>
    <w:rsid w:val="00E7652D"/>
    <w:rsid w:val="00E76752"/>
    <w:rsid w:val="00E76BCF"/>
    <w:rsid w:val="00E76C3C"/>
    <w:rsid w:val="00E76D44"/>
    <w:rsid w:val="00E76E16"/>
    <w:rsid w:val="00E76EA3"/>
    <w:rsid w:val="00E770AD"/>
    <w:rsid w:val="00E77154"/>
    <w:rsid w:val="00E77295"/>
    <w:rsid w:val="00E772F3"/>
    <w:rsid w:val="00E7730D"/>
    <w:rsid w:val="00E7766B"/>
    <w:rsid w:val="00E77760"/>
    <w:rsid w:val="00E779CB"/>
    <w:rsid w:val="00E77B0F"/>
    <w:rsid w:val="00E77F84"/>
    <w:rsid w:val="00E8002A"/>
    <w:rsid w:val="00E80CDE"/>
    <w:rsid w:val="00E80F52"/>
    <w:rsid w:val="00E80F74"/>
    <w:rsid w:val="00E8106A"/>
    <w:rsid w:val="00E8110E"/>
    <w:rsid w:val="00E8128B"/>
    <w:rsid w:val="00E813E1"/>
    <w:rsid w:val="00E814D9"/>
    <w:rsid w:val="00E81590"/>
    <w:rsid w:val="00E815E1"/>
    <w:rsid w:val="00E817A3"/>
    <w:rsid w:val="00E8182E"/>
    <w:rsid w:val="00E8185B"/>
    <w:rsid w:val="00E8188C"/>
    <w:rsid w:val="00E8194D"/>
    <w:rsid w:val="00E81C4E"/>
    <w:rsid w:val="00E81CC6"/>
    <w:rsid w:val="00E81D3C"/>
    <w:rsid w:val="00E821BB"/>
    <w:rsid w:val="00E821CA"/>
    <w:rsid w:val="00E826B1"/>
    <w:rsid w:val="00E82726"/>
    <w:rsid w:val="00E8273C"/>
    <w:rsid w:val="00E82D47"/>
    <w:rsid w:val="00E82D61"/>
    <w:rsid w:val="00E82DAE"/>
    <w:rsid w:val="00E82E45"/>
    <w:rsid w:val="00E82EE2"/>
    <w:rsid w:val="00E83030"/>
    <w:rsid w:val="00E83182"/>
    <w:rsid w:val="00E8319D"/>
    <w:rsid w:val="00E83201"/>
    <w:rsid w:val="00E83205"/>
    <w:rsid w:val="00E8321C"/>
    <w:rsid w:val="00E835A0"/>
    <w:rsid w:val="00E838B2"/>
    <w:rsid w:val="00E83B24"/>
    <w:rsid w:val="00E83B64"/>
    <w:rsid w:val="00E8403F"/>
    <w:rsid w:val="00E845A7"/>
    <w:rsid w:val="00E8480D"/>
    <w:rsid w:val="00E84A1A"/>
    <w:rsid w:val="00E84A72"/>
    <w:rsid w:val="00E84B38"/>
    <w:rsid w:val="00E84BFE"/>
    <w:rsid w:val="00E84C3E"/>
    <w:rsid w:val="00E84EB7"/>
    <w:rsid w:val="00E84F96"/>
    <w:rsid w:val="00E84FC7"/>
    <w:rsid w:val="00E850E1"/>
    <w:rsid w:val="00E8532D"/>
    <w:rsid w:val="00E853F6"/>
    <w:rsid w:val="00E8572C"/>
    <w:rsid w:val="00E85870"/>
    <w:rsid w:val="00E8591A"/>
    <w:rsid w:val="00E85920"/>
    <w:rsid w:val="00E85936"/>
    <w:rsid w:val="00E859A3"/>
    <w:rsid w:val="00E85F6B"/>
    <w:rsid w:val="00E860FD"/>
    <w:rsid w:val="00E86124"/>
    <w:rsid w:val="00E863EE"/>
    <w:rsid w:val="00E8665B"/>
    <w:rsid w:val="00E8675D"/>
    <w:rsid w:val="00E86859"/>
    <w:rsid w:val="00E868FD"/>
    <w:rsid w:val="00E870E5"/>
    <w:rsid w:val="00E87117"/>
    <w:rsid w:val="00E87135"/>
    <w:rsid w:val="00E87381"/>
    <w:rsid w:val="00E874FA"/>
    <w:rsid w:val="00E87569"/>
    <w:rsid w:val="00E87583"/>
    <w:rsid w:val="00E878AD"/>
    <w:rsid w:val="00E87A3E"/>
    <w:rsid w:val="00E87DF8"/>
    <w:rsid w:val="00E90006"/>
    <w:rsid w:val="00E90086"/>
    <w:rsid w:val="00E902B0"/>
    <w:rsid w:val="00E902E8"/>
    <w:rsid w:val="00E90400"/>
    <w:rsid w:val="00E90486"/>
    <w:rsid w:val="00E90583"/>
    <w:rsid w:val="00E9069B"/>
    <w:rsid w:val="00E9069D"/>
    <w:rsid w:val="00E9070D"/>
    <w:rsid w:val="00E907A1"/>
    <w:rsid w:val="00E90A21"/>
    <w:rsid w:val="00E90A46"/>
    <w:rsid w:val="00E90B3F"/>
    <w:rsid w:val="00E90B76"/>
    <w:rsid w:val="00E90C4C"/>
    <w:rsid w:val="00E90CB8"/>
    <w:rsid w:val="00E90DB8"/>
    <w:rsid w:val="00E90E57"/>
    <w:rsid w:val="00E910C8"/>
    <w:rsid w:val="00E9139B"/>
    <w:rsid w:val="00E9148F"/>
    <w:rsid w:val="00E91B44"/>
    <w:rsid w:val="00E92257"/>
    <w:rsid w:val="00E9227B"/>
    <w:rsid w:val="00E92341"/>
    <w:rsid w:val="00E92437"/>
    <w:rsid w:val="00E92620"/>
    <w:rsid w:val="00E9267E"/>
    <w:rsid w:val="00E92760"/>
    <w:rsid w:val="00E9283D"/>
    <w:rsid w:val="00E9290C"/>
    <w:rsid w:val="00E9296B"/>
    <w:rsid w:val="00E92975"/>
    <w:rsid w:val="00E929EC"/>
    <w:rsid w:val="00E92A3A"/>
    <w:rsid w:val="00E92ACC"/>
    <w:rsid w:val="00E92C95"/>
    <w:rsid w:val="00E92DBB"/>
    <w:rsid w:val="00E92DCD"/>
    <w:rsid w:val="00E92FC8"/>
    <w:rsid w:val="00E93076"/>
    <w:rsid w:val="00E93255"/>
    <w:rsid w:val="00E93381"/>
    <w:rsid w:val="00E934DF"/>
    <w:rsid w:val="00E935A1"/>
    <w:rsid w:val="00E93821"/>
    <w:rsid w:val="00E9386D"/>
    <w:rsid w:val="00E93B84"/>
    <w:rsid w:val="00E93DA5"/>
    <w:rsid w:val="00E9404D"/>
    <w:rsid w:val="00E940DB"/>
    <w:rsid w:val="00E94263"/>
    <w:rsid w:val="00E946C2"/>
    <w:rsid w:val="00E948DD"/>
    <w:rsid w:val="00E949E5"/>
    <w:rsid w:val="00E949EC"/>
    <w:rsid w:val="00E949ED"/>
    <w:rsid w:val="00E94E21"/>
    <w:rsid w:val="00E94FC2"/>
    <w:rsid w:val="00E95112"/>
    <w:rsid w:val="00E9543A"/>
    <w:rsid w:val="00E956B9"/>
    <w:rsid w:val="00E957AA"/>
    <w:rsid w:val="00E95961"/>
    <w:rsid w:val="00E95CFB"/>
    <w:rsid w:val="00E960CD"/>
    <w:rsid w:val="00E96237"/>
    <w:rsid w:val="00E963BB"/>
    <w:rsid w:val="00E9649B"/>
    <w:rsid w:val="00E964BD"/>
    <w:rsid w:val="00E967B7"/>
    <w:rsid w:val="00E968EA"/>
    <w:rsid w:val="00E96C11"/>
    <w:rsid w:val="00E96EDD"/>
    <w:rsid w:val="00E971DE"/>
    <w:rsid w:val="00E97373"/>
    <w:rsid w:val="00E97459"/>
    <w:rsid w:val="00E97557"/>
    <w:rsid w:val="00E97633"/>
    <w:rsid w:val="00E976EF"/>
    <w:rsid w:val="00E977B5"/>
    <w:rsid w:val="00E978D2"/>
    <w:rsid w:val="00E978E9"/>
    <w:rsid w:val="00E97A0E"/>
    <w:rsid w:val="00E97ADF"/>
    <w:rsid w:val="00E97C19"/>
    <w:rsid w:val="00E97CA8"/>
    <w:rsid w:val="00E97CC9"/>
    <w:rsid w:val="00E97D63"/>
    <w:rsid w:val="00E97EB8"/>
    <w:rsid w:val="00EA001C"/>
    <w:rsid w:val="00EA00A7"/>
    <w:rsid w:val="00EA0159"/>
    <w:rsid w:val="00EA01EC"/>
    <w:rsid w:val="00EA037C"/>
    <w:rsid w:val="00EA03C7"/>
    <w:rsid w:val="00EA03E6"/>
    <w:rsid w:val="00EA0504"/>
    <w:rsid w:val="00EA054C"/>
    <w:rsid w:val="00EA08FD"/>
    <w:rsid w:val="00EA0A61"/>
    <w:rsid w:val="00EA0AA1"/>
    <w:rsid w:val="00EA0B24"/>
    <w:rsid w:val="00EA0B73"/>
    <w:rsid w:val="00EA0CC8"/>
    <w:rsid w:val="00EA0CFE"/>
    <w:rsid w:val="00EA0E2E"/>
    <w:rsid w:val="00EA0EFA"/>
    <w:rsid w:val="00EA1015"/>
    <w:rsid w:val="00EA133C"/>
    <w:rsid w:val="00EA1341"/>
    <w:rsid w:val="00EA1443"/>
    <w:rsid w:val="00EA14D8"/>
    <w:rsid w:val="00EA14EF"/>
    <w:rsid w:val="00EA1542"/>
    <w:rsid w:val="00EA15A8"/>
    <w:rsid w:val="00EA160D"/>
    <w:rsid w:val="00EA162B"/>
    <w:rsid w:val="00EA1639"/>
    <w:rsid w:val="00EA16A9"/>
    <w:rsid w:val="00EA16D9"/>
    <w:rsid w:val="00EA1ABC"/>
    <w:rsid w:val="00EA1C82"/>
    <w:rsid w:val="00EA1C8C"/>
    <w:rsid w:val="00EA1ED3"/>
    <w:rsid w:val="00EA2242"/>
    <w:rsid w:val="00EA22F4"/>
    <w:rsid w:val="00EA23AC"/>
    <w:rsid w:val="00EA23B2"/>
    <w:rsid w:val="00EA2420"/>
    <w:rsid w:val="00EA2522"/>
    <w:rsid w:val="00EA26F0"/>
    <w:rsid w:val="00EA2A37"/>
    <w:rsid w:val="00EA2DEB"/>
    <w:rsid w:val="00EA2EBD"/>
    <w:rsid w:val="00EA2F00"/>
    <w:rsid w:val="00EA3003"/>
    <w:rsid w:val="00EA30B0"/>
    <w:rsid w:val="00EA30C1"/>
    <w:rsid w:val="00EA3120"/>
    <w:rsid w:val="00EA32C4"/>
    <w:rsid w:val="00EA3400"/>
    <w:rsid w:val="00EA3588"/>
    <w:rsid w:val="00EA3873"/>
    <w:rsid w:val="00EA38BD"/>
    <w:rsid w:val="00EA398F"/>
    <w:rsid w:val="00EA3C78"/>
    <w:rsid w:val="00EA3F5C"/>
    <w:rsid w:val="00EA3F81"/>
    <w:rsid w:val="00EA4249"/>
    <w:rsid w:val="00EA46A5"/>
    <w:rsid w:val="00EA4810"/>
    <w:rsid w:val="00EA4AB9"/>
    <w:rsid w:val="00EA4D23"/>
    <w:rsid w:val="00EA4FC5"/>
    <w:rsid w:val="00EA519F"/>
    <w:rsid w:val="00EA5272"/>
    <w:rsid w:val="00EA532B"/>
    <w:rsid w:val="00EA53BA"/>
    <w:rsid w:val="00EA564C"/>
    <w:rsid w:val="00EA5ADB"/>
    <w:rsid w:val="00EA5D0B"/>
    <w:rsid w:val="00EA5EF2"/>
    <w:rsid w:val="00EA5F9B"/>
    <w:rsid w:val="00EA600A"/>
    <w:rsid w:val="00EA613D"/>
    <w:rsid w:val="00EA6159"/>
    <w:rsid w:val="00EA61F0"/>
    <w:rsid w:val="00EA66D1"/>
    <w:rsid w:val="00EA67B5"/>
    <w:rsid w:val="00EA67F9"/>
    <w:rsid w:val="00EA6874"/>
    <w:rsid w:val="00EA68EC"/>
    <w:rsid w:val="00EA69EE"/>
    <w:rsid w:val="00EA6A37"/>
    <w:rsid w:val="00EA6E6F"/>
    <w:rsid w:val="00EA6FC4"/>
    <w:rsid w:val="00EA7247"/>
    <w:rsid w:val="00EA730A"/>
    <w:rsid w:val="00EA73A6"/>
    <w:rsid w:val="00EA7460"/>
    <w:rsid w:val="00EA76AE"/>
    <w:rsid w:val="00EA7706"/>
    <w:rsid w:val="00EA79AE"/>
    <w:rsid w:val="00EA7AC6"/>
    <w:rsid w:val="00EA7B76"/>
    <w:rsid w:val="00EA7B99"/>
    <w:rsid w:val="00EA7BBB"/>
    <w:rsid w:val="00EA7C3D"/>
    <w:rsid w:val="00EA7F7C"/>
    <w:rsid w:val="00EB01F0"/>
    <w:rsid w:val="00EB037E"/>
    <w:rsid w:val="00EB0411"/>
    <w:rsid w:val="00EB0563"/>
    <w:rsid w:val="00EB065D"/>
    <w:rsid w:val="00EB0957"/>
    <w:rsid w:val="00EB09B0"/>
    <w:rsid w:val="00EB0A36"/>
    <w:rsid w:val="00EB0D4D"/>
    <w:rsid w:val="00EB0E30"/>
    <w:rsid w:val="00EB0E60"/>
    <w:rsid w:val="00EB1107"/>
    <w:rsid w:val="00EB117A"/>
    <w:rsid w:val="00EB1264"/>
    <w:rsid w:val="00EB1315"/>
    <w:rsid w:val="00EB1316"/>
    <w:rsid w:val="00EB13CB"/>
    <w:rsid w:val="00EB1598"/>
    <w:rsid w:val="00EB16C0"/>
    <w:rsid w:val="00EB1773"/>
    <w:rsid w:val="00EB1851"/>
    <w:rsid w:val="00EB1A06"/>
    <w:rsid w:val="00EB1AC1"/>
    <w:rsid w:val="00EB1D6A"/>
    <w:rsid w:val="00EB1E5F"/>
    <w:rsid w:val="00EB1E76"/>
    <w:rsid w:val="00EB2005"/>
    <w:rsid w:val="00EB20C2"/>
    <w:rsid w:val="00EB235E"/>
    <w:rsid w:val="00EB237F"/>
    <w:rsid w:val="00EB2394"/>
    <w:rsid w:val="00EB24CC"/>
    <w:rsid w:val="00EB24E2"/>
    <w:rsid w:val="00EB255C"/>
    <w:rsid w:val="00EB26FA"/>
    <w:rsid w:val="00EB28FD"/>
    <w:rsid w:val="00EB29CF"/>
    <w:rsid w:val="00EB2A0D"/>
    <w:rsid w:val="00EB2B0D"/>
    <w:rsid w:val="00EB2B4A"/>
    <w:rsid w:val="00EB2D25"/>
    <w:rsid w:val="00EB3019"/>
    <w:rsid w:val="00EB3181"/>
    <w:rsid w:val="00EB3344"/>
    <w:rsid w:val="00EB350A"/>
    <w:rsid w:val="00EB35EF"/>
    <w:rsid w:val="00EB372A"/>
    <w:rsid w:val="00EB3892"/>
    <w:rsid w:val="00EB3CDD"/>
    <w:rsid w:val="00EB3D9B"/>
    <w:rsid w:val="00EB3E29"/>
    <w:rsid w:val="00EB3F95"/>
    <w:rsid w:val="00EB403D"/>
    <w:rsid w:val="00EB4061"/>
    <w:rsid w:val="00EB40A1"/>
    <w:rsid w:val="00EB41AA"/>
    <w:rsid w:val="00EB42D5"/>
    <w:rsid w:val="00EB4671"/>
    <w:rsid w:val="00EB4706"/>
    <w:rsid w:val="00EB4796"/>
    <w:rsid w:val="00EB4866"/>
    <w:rsid w:val="00EB4B0B"/>
    <w:rsid w:val="00EB4B9A"/>
    <w:rsid w:val="00EB4D69"/>
    <w:rsid w:val="00EB4E75"/>
    <w:rsid w:val="00EB4FCC"/>
    <w:rsid w:val="00EB53CF"/>
    <w:rsid w:val="00EB58CC"/>
    <w:rsid w:val="00EB5C24"/>
    <w:rsid w:val="00EB5E22"/>
    <w:rsid w:val="00EB5EEC"/>
    <w:rsid w:val="00EB60EA"/>
    <w:rsid w:val="00EB6150"/>
    <w:rsid w:val="00EB62D2"/>
    <w:rsid w:val="00EB6351"/>
    <w:rsid w:val="00EB6688"/>
    <w:rsid w:val="00EB6878"/>
    <w:rsid w:val="00EB6A38"/>
    <w:rsid w:val="00EB6BE8"/>
    <w:rsid w:val="00EB6BFE"/>
    <w:rsid w:val="00EB6CF8"/>
    <w:rsid w:val="00EB6D8F"/>
    <w:rsid w:val="00EB6E25"/>
    <w:rsid w:val="00EB6F2F"/>
    <w:rsid w:val="00EB7081"/>
    <w:rsid w:val="00EB7102"/>
    <w:rsid w:val="00EB7173"/>
    <w:rsid w:val="00EB74B3"/>
    <w:rsid w:val="00EB74C7"/>
    <w:rsid w:val="00EB7598"/>
    <w:rsid w:val="00EB76DC"/>
    <w:rsid w:val="00EB76F1"/>
    <w:rsid w:val="00EB782D"/>
    <w:rsid w:val="00EB78C9"/>
    <w:rsid w:val="00EB7A14"/>
    <w:rsid w:val="00EB7B61"/>
    <w:rsid w:val="00EB7E27"/>
    <w:rsid w:val="00EC01B5"/>
    <w:rsid w:val="00EC0544"/>
    <w:rsid w:val="00EC05C3"/>
    <w:rsid w:val="00EC0633"/>
    <w:rsid w:val="00EC0AD3"/>
    <w:rsid w:val="00EC0AE8"/>
    <w:rsid w:val="00EC0EC5"/>
    <w:rsid w:val="00EC100F"/>
    <w:rsid w:val="00EC13AF"/>
    <w:rsid w:val="00EC171D"/>
    <w:rsid w:val="00EC17B3"/>
    <w:rsid w:val="00EC1AEF"/>
    <w:rsid w:val="00EC1B09"/>
    <w:rsid w:val="00EC1B61"/>
    <w:rsid w:val="00EC1CBB"/>
    <w:rsid w:val="00EC1E0E"/>
    <w:rsid w:val="00EC1F96"/>
    <w:rsid w:val="00EC203B"/>
    <w:rsid w:val="00EC20C9"/>
    <w:rsid w:val="00EC21AA"/>
    <w:rsid w:val="00EC2218"/>
    <w:rsid w:val="00EC226E"/>
    <w:rsid w:val="00EC232B"/>
    <w:rsid w:val="00EC236D"/>
    <w:rsid w:val="00EC23D9"/>
    <w:rsid w:val="00EC25BD"/>
    <w:rsid w:val="00EC29D6"/>
    <w:rsid w:val="00EC2CD4"/>
    <w:rsid w:val="00EC2D17"/>
    <w:rsid w:val="00EC2D52"/>
    <w:rsid w:val="00EC2DD3"/>
    <w:rsid w:val="00EC2E96"/>
    <w:rsid w:val="00EC3003"/>
    <w:rsid w:val="00EC300A"/>
    <w:rsid w:val="00EC306E"/>
    <w:rsid w:val="00EC3155"/>
    <w:rsid w:val="00EC316A"/>
    <w:rsid w:val="00EC32BD"/>
    <w:rsid w:val="00EC349F"/>
    <w:rsid w:val="00EC34CA"/>
    <w:rsid w:val="00EC3557"/>
    <w:rsid w:val="00EC36C3"/>
    <w:rsid w:val="00EC3917"/>
    <w:rsid w:val="00EC3B9B"/>
    <w:rsid w:val="00EC3E1B"/>
    <w:rsid w:val="00EC3EA4"/>
    <w:rsid w:val="00EC42AB"/>
    <w:rsid w:val="00EC4418"/>
    <w:rsid w:val="00EC459A"/>
    <w:rsid w:val="00EC45DE"/>
    <w:rsid w:val="00EC500B"/>
    <w:rsid w:val="00EC51F2"/>
    <w:rsid w:val="00EC5400"/>
    <w:rsid w:val="00EC5519"/>
    <w:rsid w:val="00EC55C8"/>
    <w:rsid w:val="00EC5678"/>
    <w:rsid w:val="00EC571A"/>
    <w:rsid w:val="00EC57A8"/>
    <w:rsid w:val="00EC5921"/>
    <w:rsid w:val="00EC59A1"/>
    <w:rsid w:val="00EC59F0"/>
    <w:rsid w:val="00EC5BD5"/>
    <w:rsid w:val="00EC5E6A"/>
    <w:rsid w:val="00EC601F"/>
    <w:rsid w:val="00EC6158"/>
    <w:rsid w:val="00EC63BF"/>
    <w:rsid w:val="00EC641E"/>
    <w:rsid w:val="00EC67BA"/>
    <w:rsid w:val="00EC6978"/>
    <w:rsid w:val="00EC6A7D"/>
    <w:rsid w:val="00EC6B16"/>
    <w:rsid w:val="00EC6B93"/>
    <w:rsid w:val="00EC6F00"/>
    <w:rsid w:val="00EC709D"/>
    <w:rsid w:val="00EC7135"/>
    <w:rsid w:val="00EC7227"/>
    <w:rsid w:val="00EC7429"/>
    <w:rsid w:val="00EC74D3"/>
    <w:rsid w:val="00EC774C"/>
    <w:rsid w:val="00EC7874"/>
    <w:rsid w:val="00EC7B24"/>
    <w:rsid w:val="00EC7BB2"/>
    <w:rsid w:val="00EC7BF8"/>
    <w:rsid w:val="00EC7C80"/>
    <w:rsid w:val="00ED0194"/>
    <w:rsid w:val="00ED0196"/>
    <w:rsid w:val="00ED02C9"/>
    <w:rsid w:val="00ED02E2"/>
    <w:rsid w:val="00ED0367"/>
    <w:rsid w:val="00ED0487"/>
    <w:rsid w:val="00ED04E1"/>
    <w:rsid w:val="00ED0635"/>
    <w:rsid w:val="00ED0816"/>
    <w:rsid w:val="00ED083C"/>
    <w:rsid w:val="00ED08FA"/>
    <w:rsid w:val="00ED0B0C"/>
    <w:rsid w:val="00ED0D88"/>
    <w:rsid w:val="00ED0D95"/>
    <w:rsid w:val="00ED0F12"/>
    <w:rsid w:val="00ED12FF"/>
    <w:rsid w:val="00ED14A4"/>
    <w:rsid w:val="00ED15E0"/>
    <w:rsid w:val="00ED161E"/>
    <w:rsid w:val="00ED167E"/>
    <w:rsid w:val="00ED168F"/>
    <w:rsid w:val="00ED1761"/>
    <w:rsid w:val="00ED1764"/>
    <w:rsid w:val="00ED18F6"/>
    <w:rsid w:val="00ED1B98"/>
    <w:rsid w:val="00ED1BA5"/>
    <w:rsid w:val="00ED1D7A"/>
    <w:rsid w:val="00ED1E09"/>
    <w:rsid w:val="00ED1ED1"/>
    <w:rsid w:val="00ED1FCB"/>
    <w:rsid w:val="00ED2226"/>
    <w:rsid w:val="00ED22F6"/>
    <w:rsid w:val="00ED23BB"/>
    <w:rsid w:val="00ED2400"/>
    <w:rsid w:val="00ED24A5"/>
    <w:rsid w:val="00ED25F9"/>
    <w:rsid w:val="00ED2732"/>
    <w:rsid w:val="00ED2910"/>
    <w:rsid w:val="00ED2C12"/>
    <w:rsid w:val="00ED30DF"/>
    <w:rsid w:val="00ED333C"/>
    <w:rsid w:val="00ED36BC"/>
    <w:rsid w:val="00ED375D"/>
    <w:rsid w:val="00ED3850"/>
    <w:rsid w:val="00ED3B82"/>
    <w:rsid w:val="00ED3C98"/>
    <w:rsid w:val="00ED3D31"/>
    <w:rsid w:val="00ED3EDA"/>
    <w:rsid w:val="00ED41AB"/>
    <w:rsid w:val="00ED4299"/>
    <w:rsid w:val="00ED4455"/>
    <w:rsid w:val="00ED448A"/>
    <w:rsid w:val="00ED459A"/>
    <w:rsid w:val="00ED469D"/>
    <w:rsid w:val="00ED46DB"/>
    <w:rsid w:val="00ED4A6D"/>
    <w:rsid w:val="00ED4B26"/>
    <w:rsid w:val="00ED50A4"/>
    <w:rsid w:val="00ED5236"/>
    <w:rsid w:val="00ED542D"/>
    <w:rsid w:val="00ED5534"/>
    <w:rsid w:val="00ED5593"/>
    <w:rsid w:val="00ED596C"/>
    <w:rsid w:val="00ED5A20"/>
    <w:rsid w:val="00ED5A92"/>
    <w:rsid w:val="00ED5BCB"/>
    <w:rsid w:val="00ED5C83"/>
    <w:rsid w:val="00ED5CBB"/>
    <w:rsid w:val="00ED607D"/>
    <w:rsid w:val="00ED6232"/>
    <w:rsid w:val="00ED6235"/>
    <w:rsid w:val="00ED64B9"/>
    <w:rsid w:val="00ED6C94"/>
    <w:rsid w:val="00ED6CBD"/>
    <w:rsid w:val="00ED6D22"/>
    <w:rsid w:val="00ED6D74"/>
    <w:rsid w:val="00ED6E26"/>
    <w:rsid w:val="00ED75A5"/>
    <w:rsid w:val="00ED7632"/>
    <w:rsid w:val="00ED77C6"/>
    <w:rsid w:val="00ED7C8F"/>
    <w:rsid w:val="00ED7C9B"/>
    <w:rsid w:val="00ED7D12"/>
    <w:rsid w:val="00EE02F5"/>
    <w:rsid w:val="00EE05E9"/>
    <w:rsid w:val="00EE061B"/>
    <w:rsid w:val="00EE06D5"/>
    <w:rsid w:val="00EE0785"/>
    <w:rsid w:val="00EE07E0"/>
    <w:rsid w:val="00EE080B"/>
    <w:rsid w:val="00EE09CF"/>
    <w:rsid w:val="00EE0A57"/>
    <w:rsid w:val="00EE0B10"/>
    <w:rsid w:val="00EE0BDB"/>
    <w:rsid w:val="00EE0F44"/>
    <w:rsid w:val="00EE0FC6"/>
    <w:rsid w:val="00EE11EB"/>
    <w:rsid w:val="00EE1351"/>
    <w:rsid w:val="00EE1447"/>
    <w:rsid w:val="00EE15D8"/>
    <w:rsid w:val="00EE15F1"/>
    <w:rsid w:val="00EE195A"/>
    <w:rsid w:val="00EE1A37"/>
    <w:rsid w:val="00EE1BF1"/>
    <w:rsid w:val="00EE1BF2"/>
    <w:rsid w:val="00EE1D32"/>
    <w:rsid w:val="00EE1E8C"/>
    <w:rsid w:val="00EE1EB4"/>
    <w:rsid w:val="00EE1ECE"/>
    <w:rsid w:val="00EE1ED0"/>
    <w:rsid w:val="00EE21E1"/>
    <w:rsid w:val="00EE2681"/>
    <w:rsid w:val="00EE26C6"/>
    <w:rsid w:val="00EE2BA5"/>
    <w:rsid w:val="00EE3115"/>
    <w:rsid w:val="00EE3209"/>
    <w:rsid w:val="00EE32B8"/>
    <w:rsid w:val="00EE32CD"/>
    <w:rsid w:val="00EE330F"/>
    <w:rsid w:val="00EE34AA"/>
    <w:rsid w:val="00EE3797"/>
    <w:rsid w:val="00EE38BA"/>
    <w:rsid w:val="00EE3946"/>
    <w:rsid w:val="00EE3AA3"/>
    <w:rsid w:val="00EE3E90"/>
    <w:rsid w:val="00EE3F78"/>
    <w:rsid w:val="00EE3F80"/>
    <w:rsid w:val="00EE4076"/>
    <w:rsid w:val="00EE4093"/>
    <w:rsid w:val="00EE40C3"/>
    <w:rsid w:val="00EE43E6"/>
    <w:rsid w:val="00EE4475"/>
    <w:rsid w:val="00EE4864"/>
    <w:rsid w:val="00EE4975"/>
    <w:rsid w:val="00EE4D04"/>
    <w:rsid w:val="00EE4D27"/>
    <w:rsid w:val="00EE4E2B"/>
    <w:rsid w:val="00EE4FB7"/>
    <w:rsid w:val="00EE52F7"/>
    <w:rsid w:val="00EE5307"/>
    <w:rsid w:val="00EE532F"/>
    <w:rsid w:val="00EE533D"/>
    <w:rsid w:val="00EE535C"/>
    <w:rsid w:val="00EE545D"/>
    <w:rsid w:val="00EE560D"/>
    <w:rsid w:val="00EE5876"/>
    <w:rsid w:val="00EE5AF0"/>
    <w:rsid w:val="00EE5B75"/>
    <w:rsid w:val="00EE5F35"/>
    <w:rsid w:val="00EE612C"/>
    <w:rsid w:val="00EE62E2"/>
    <w:rsid w:val="00EE658D"/>
    <w:rsid w:val="00EE67A2"/>
    <w:rsid w:val="00EE6808"/>
    <w:rsid w:val="00EE691F"/>
    <w:rsid w:val="00EE6CC5"/>
    <w:rsid w:val="00EE7222"/>
    <w:rsid w:val="00EE72A9"/>
    <w:rsid w:val="00EE72CF"/>
    <w:rsid w:val="00EE7744"/>
    <w:rsid w:val="00EE791D"/>
    <w:rsid w:val="00EE7B82"/>
    <w:rsid w:val="00EE7C7E"/>
    <w:rsid w:val="00EE7E74"/>
    <w:rsid w:val="00EF00CF"/>
    <w:rsid w:val="00EF0195"/>
    <w:rsid w:val="00EF0279"/>
    <w:rsid w:val="00EF02B6"/>
    <w:rsid w:val="00EF031C"/>
    <w:rsid w:val="00EF036B"/>
    <w:rsid w:val="00EF03CA"/>
    <w:rsid w:val="00EF03E1"/>
    <w:rsid w:val="00EF0446"/>
    <w:rsid w:val="00EF04AF"/>
    <w:rsid w:val="00EF04F3"/>
    <w:rsid w:val="00EF05EC"/>
    <w:rsid w:val="00EF067E"/>
    <w:rsid w:val="00EF0796"/>
    <w:rsid w:val="00EF081B"/>
    <w:rsid w:val="00EF09DA"/>
    <w:rsid w:val="00EF0CA0"/>
    <w:rsid w:val="00EF0CE3"/>
    <w:rsid w:val="00EF1053"/>
    <w:rsid w:val="00EF1264"/>
    <w:rsid w:val="00EF12F8"/>
    <w:rsid w:val="00EF145E"/>
    <w:rsid w:val="00EF14DD"/>
    <w:rsid w:val="00EF164C"/>
    <w:rsid w:val="00EF16C8"/>
    <w:rsid w:val="00EF176C"/>
    <w:rsid w:val="00EF17C8"/>
    <w:rsid w:val="00EF185E"/>
    <w:rsid w:val="00EF1AEA"/>
    <w:rsid w:val="00EF1DC2"/>
    <w:rsid w:val="00EF1F72"/>
    <w:rsid w:val="00EF2203"/>
    <w:rsid w:val="00EF2275"/>
    <w:rsid w:val="00EF2768"/>
    <w:rsid w:val="00EF27A8"/>
    <w:rsid w:val="00EF28CD"/>
    <w:rsid w:val="00EF2991"/>
    <w:rsid w:val="00EF2BAE"/>
    <w:rsid w:val="00EF2BBB"/>
    <w:rsid w:val="00EF2BCF"/>
    <w:rsid w:val="00EF2F10"/>
    <w:rsid w:val="00EF2F64"/>
    <w:rsid w:val="00EF2F7D"/>
    <w:rsid w:val="00EF2FFA"/>
    <w:rsid w:val="00EF30AB"/>
    <w:rsid w:val="00EF32E6"/>
    <w:rsid w:val="00EF3496"/>
    <w:rsid w:val="00EF34E3"/>
    <w:rsid w:val="00EF369B"/>
    <w:rsid w:val="00EF386E"/>
    <w:rsid w:val="00EF38AB"/>
    <w:rsid w:val="00EF39C8"/>
    <w:rsid w:val="00EF3A2B"/>
    <w:rsid w:val="00EF3B1F"/>
    <w:rsid w:val="00EF3B5F"/>
    <w:rsid w:val="00EF3C30"/>
    <w:rsid w:val="00EF3D45"/>
    <w:rsid w:val="00EF3F27"/>
    <w:rsid w:val="00EF3F91"/>
    <w:rsid w:val="00EF3F92"/>
    <w:rsid w:val="00EF4244"/>
    <w:rsid w:val="00EF424D"/>
    <w:rsid w:val="00EF4265"/>
    <w:rsid w:val="00EF44A9"/>
    <w:rsid w:val="00EF474B"/>
    <w:rsid w:val="00EF48D9"/>
    <w:rsid w:val="00EF4936"/>
    <w:rsid w:val="00EF4A38"/>
    <w:rsid w:val="00EF4A57"/>
    <w:rsid w:val="00EF4A7E"/>
    <w:rsid w:val="00EF4BB1"/>
    <w:rsid w:val="00EF4BFA"/>
    <w:rsid w:val="00EF4D83"/>
    <w:rsid w:val="00EF4DFD"/>
    <w:rsid w:val="00EF4E79"/>
    <w:rsid w:val="00EF4E8C"/>
    <w:rsid w:val="00EF5052"/>
    <w:rsid w:val="00EF571C"/>
    <w:rsid w:val="00EF5AC8"/>
    <w:rsid w:val="00EF5ADE"/>
    <w:rsid w:val="00EF5B54"/>
    <w:rsid w:val="00EF5D4B"/>
    <w:rsid w:val="00EF5EC2"/>
    <w:rsid w:val="00EF5ECD"/>
    <w:rsid w:val="00EF5F61"/>
    <w:rsid w:val="00EF6089"/>
    <w:rsid w:val="00EF60EB"/>
    <w:rsid w:val="00EF6293"/>
    <w:rsid w:val="00EF62E8"/>
    <w:rsid w:val="00EF6651"/>
    <w:rsid w:val="00EF6701"/>
    <w:rsid w:val="00EF688F"/>
    <w:rsid w:val="00EF68FE"/>
    <w:rsid w:val="00EF6B98"/>
    <w:rsid w:val="00EF6BD5"/>
    <w:rsid w:val="00EF6C8E"/>
    <w:rsid w:val="00EF6CB3"/>
    <w:rsid w:val="00EF6D2F"/>
    <w:rsid w:val="00EF6EBF"/>
    <w:rsid w:val="00EF6ED6"/>
    <w:rsid w:val="00EF6FB8"/>
    <w:rsid w:val="00EF70C8"/>
    <w:rsid w:val="00EF7102"/>
    <w:rsid w:val="00EF7394"/>
    <w:rsid w:val="00EF73AD"/>
    <w:rsid w:val="00EF73C4"/>
    <w:rsid w:val="00EF7463"/>
    <w:rsid w:val="00EF751F"/>
    <w:rsid w:val="00EF76D2"/>
    <w:rsid w:val="00EF79E8"/>
    <w:rsid w:val="00EF7AF6"/>
    <w:rsid w:val="00EF7B71"/>
    <w:rsid w:val="00F00165"/>
    <w:rsid w:val="00F00322"/>
    <w:rsid w:val="00F0082D"/>
    <w:rsid w:val="00F009BD"/>
    <w:rsid w:val="00F00A3C"/>
    <w:rsid w:val="00F00AA0"/>
    <w:rsid w:val="00F010A0"/>
    <w:rsid w:val="00F010DF"/>
    <w:rsid w:val="00F012F1"/>
    <w:rsid w:val="00F01326"/>
    <w:rsid w:val="00F01592"/>
    <w:rsid w:val="00F015AB"/>
    <w:rsid w:val="00F01D43"/>
    <w:rsid w:val="00F01DEA"/>
    <w:rsid w:val="00F01E44"/>
    <w:rsid w:val="00F02350"/>
    <w:rsid w:val="00F02434"/>
    <w:rsid w:val="00F0243E"/>
    <w:rsid w:val="00F02453"/>
    <w:rsid w:val="00F02805"/>
    <w:rsid w:val="00F0290E"/>
    <w:rsid w:val="00F02938"/>
    <w:rsid w:val="00F02966"/>
    <w:rsid w:val="00F02979"/>
    <w:rsid w:val="00F02B29"/>
    <w:rsid w:val="00F02B2B"/>
    <w:rsid w:val="00F02B5C"/>
    <w:rsid w:val="00F02C25"/>
    <w:rsid w:val="00F02D51"/>
    <w:rsid w:val="00F02DC7"/>
    <w:rsid w:val="00F030C8"/>
    <w:rsid w:val="00F03196"/>
    <w:rsid w:val="00F03467"/>
    <w:rsid w:val="00F0354B"/>
    <w:rsid w:val="00F03F4C"/>
    <w:rsid w:val="00F03F7F"/>
    <w:rsid w:val="00F04015"/>
    <w:rsid w:val="00F0427A"/>
    <w:rsid w:val="00F043A4"/>
    <w:rsid w:val="00F043C8"/>
    <w:rsid w:val="00F0446C"/>
    <w:rsid w:val="00F045E0"/>
    <w:rsid w:val="00F04647"/>
    <w:rsid w:val="00F04C03"/>
    <w:rsid w:val="00F04C55"/>
    <w:rsid w:val="00F04C8C"/>
    <w:rsid w:val="00F04D90"/>
    <w:rsid w:val="00F04E8D"/>
    <w:rsid w:val="00F04E98"/>
    <w:rsid w:val="00F04EE7"/>
    <w:rsid w:val="00F0515F"/>
    <w:rsid w:val="00F0528F"/>
    <w:rsid w:val="00F052C8"/>
    <w:rsid w:val="00F052D8"/>
    <w:rsid w:val="00F053A9"/>
    <w:rsid w:val="00F05429"/>
    <w:rsid w:val="00F0595B"/>
    <w:rsid w:val="00F05965"/>
    <w:rsid w:val="00F059DB"/>
    <w:rsid w:val="00F05C48"/>
    <w:rsid w:val="00F05CC1"/>
    <w:rsid w:val="00F05D23"/>
    <w:rsid w:val="00F05EAA"/>
    <w:rsid w:val="00F06001"/>
    <w:rsid w:val="00F06029"/>
    <w:rsid w:val="00F060B0"/>
    <w:rsid w:val="00F06295"/>
    <w:rsid w:val="00F06578"/>
    <w:rsid w:val="00F065BA"/>
    <w:rsid w:val="00F06694"/>
    <w:rsid w:val="00F066DD"/>
    <w:rsid w:val="00F066ED"/>
    <w:rsid w:val="00F067EF"/>
    <w:rsid w:val="00F069E2"/>
    <w:rsid w:val="00F06A32"/>
    <w:rsid w:val="00F06C52"/>
    <w:rsid w:val="00F070CF"/>
    <w:rsid w:val="00F072BC"/>
    <w:rsid w:val="00F07360"/>
    <w:rsid w:val="00F07368"/>
    <w:rsid w:val="00F073BD"/>
    <w:rsid w:val="00F074A7"/>
    <w:rsid w:val="00F074B3"/>
    <w:rsid w:val="00F07518"/>
    <w:rsid w:val="00F0782C"/>
    <w:rsid w:val="00F07957"/>
    <w:rsid w:val="00F07969"/>
    <w:rsid w:val="00F07C90"/>
    <w:rsid w:val="00F1003F"/>
    <w:rsid w:val="00F102F2"/>
    <w:rsid w:val="00F103EE"/>
    <w:rsid w:val="00F1049A"/>
    <w:rsid w:val="00F10670"/>
    <w:rsid w:val="00F1093A"/>
    <w:rsid w:val="00F10995"/>
    <w:rsid w:val="00F10AB3"/>
    <w:rsid w:val="00F10B40"/>
    <w:rsid w:val="00F10D75"/>
    <w:rsid w:val="00F111D6"/>
    <w:rsid w:val="00F113AB"/>
    <w:rsid w:val="00F117BB"/>
    <w:rsid w:val="00F11875"/>
    <w:rsid w:val="00F1189C"/>
    <w:rsid w:val="00F1193D"/>
    <w:rsid w:val="00F11E73"/>
    <w:rsid w:val="00F12034"/>
    <w:rsid w:val="00F123E2"/>
    <w:rsid w:val="00F12736"/>
    <w:rsid w:val="00F12803"/>
    <w:rsid w:val="00F12939"/>
    <w:rsid w:val="00F12982"/>
    <w:rsid w:val="00F129D8"/>
    <w:rsid w:val="00F12A9D"/>
    <w:rsid w:val="00F12ABE"/>
    <w:rsid w:val="00F12ACE"/>
    <w:rsid w:val="00F12B2A"/>
    <w:rsid w:val="00F12B6B"/>
    <w:rsid w:val="00F12CDA"/>
    <w:rsid w:val="00F12D94"/>
    <w:rsid w:val="00F12F59"/>
    <w:rsid w:val="00F12F75"/>
    <w:rsid w:val="00F13324"/>
    <w:rsid w:val="00F13349"/>
    <w:rsid w:val="00F13377"/>
    <w:rsid w:val="00F1340C"/>
    <w:rsid w:val="00F13641"/>
    <w:rsid w:val="00F13BF2"/>
    <w:rsid w:val="00F13CCE"/>
    <w:rsid w:val="00F13D2A"/>
    <w:rsid w:val="00F13F02"/>
    <w:rsid w:val="00F14149"/>
    <w:rsid w:val="00F142C2"/>
    <w:rsid w:val="00F14304"/>
    <w:rsid w:val="00F14480"/>
    <w:rsid w:val="00F1462B"/>
    <w:rsid w:val="00F14692"/>
    <w:rsid w:val="00F146A8"/>
    <w:rsid w:val="00F1490D"/>
    <w:rsid w:val="00F14B93"/>
    <w:rsid w:val="00F14C8A"/>
    <w:rsid w:val="00F14E93"/>
    <w:rsid w:val="00F14EC7"/>
    <w:rsid w:val="00F15048"/>
    <w:rsid w:val="00F15225"/>
    <w:rsid w:val="00F15342"/>
    <w:rsid w:val="00F15484"/>
    <w:rsid w:val="00F15618"/>
    <w:rsid w:val="00F1565F"/>
    <w:rsid w:val="00F1566B"/>
    <w:rsid w:val="00F15850"/>
    <w:rsid w:val="00F15A10"/>
    <w:rsid w:val="00F15B1A"/>
    <w:rsid w:val="00F15C3A"/>
    <w:rsid w:val="00F1617E"/>
    <w:rsid w:val="00F16197"/>
    <w:rsid w:val="00F1624A"/>
    <w:rsid w:val="00F16302"/>
    <w:rsid w:val="00F1633E"/>
    <w:rsid w:val="00F1642D"/>
    <w:rsid w:val="00F16487"/>
    <w:rsid w:val="00F16593"/>
    <w:rsid w:val="00F166BC"/>
    <w:rsid w:val="00F167AC"/>
    <w:rsid w:val="00F1682D"/>
    <w:rsid w:val="00F16960"/>
    <w:rsid w:val="00F16AE6"/>
    <w:rsid w:val="00F16AF3"/>
    <w:rsid w:val="00F16BD9"/>
    <w:rsid w:val="00F16C48"/>
    <w:rsid w:val="00F16CBE"/>
    <w:rsid w:val="00F16CC6"/>
    <w:rsid w:val="00F16E9C"/>
    <w:rsid w:val="00F16EB4"/>
    <w:rsid w:val="00F16F72"/>
    <w:rsid w:val="00F17015"/>
    <w:rsid w:val="00F171FB"/>
    <w:rsid w:val="00F173B5"/>
    <w:rsid w:val="00F173E0"/>
    <w:rsid w:val="00F174B5"/>
    <w:rsid w:val="00F17611"/>
    <w:rsid w:val="00F176FA"/>
    <w:rsid w:val="00F17900"/>
    <w:rsid w:val="00F179CA"/>
    <w:rsid w:val="00F17BEB"/>
    <w:rsid w:val="00F2040B"/>
    <w:rsid w:val="00F207A1"/>
    <w:rsid w:val="00F20AC7"/>
    <w:rsid w:val="00F20C5C"/>
    <w:rsid w:val="00F20CD9"/>
    <w:rsid w:val="00F20EE9"/>
    <w:rsid w:val="00F20F8A"/>
    <w:rsid w:val="00F2104F"/>
    <w:rsid w:val="00F21061"/>
    <w:rsid w:val="00F2125E"/>
    <w:rsid w:val="00F21430"/>
    <w:rsid w:val="00F214A9"/>
    <w:rsid w:val="00F214B9"/>
    <w:rsid w:val="00F21590"/>
    <w:rsid w:val="00F21694"/>
    <w:rsid w:val="00F21793"/>
    <w:rsid w:val="00F21888"/>
    <w:rsid w:val="00F21954"/>
    <w:rsid w:val="00F219E1"/>
    <w:rsid w:val="00F219E3"/>
    <w:rsid w:val="00F21B26"/>
    <w:rsid w:val="00F21D2D"/>
    <w:rsid w:val="00F21D79"/>
    <w:rsid w:val="00F21DB4"/>
    <w:rsid w:val="00F21EA7"/>
    <w:rsid w:val="00F21ED9"/>
    <w:rsid w:val="00F21F18"/>
    <w:rsid w:val="00F2205D"/>
    <w:rsid w:val="00F22289"/>
    <w:rsid w:val="00F22373"/>
    <w:rsid w:val="00F223CD"/>
    <w:rsid w:val="00F226F3"/>
    <w:rsid w:val="00F2291E"/>
    <w:rsid w:val="00F22AC5"/>
    <w:rsid w:val="00F22CC6"/>
    <w:rsid w:val="00F22DA5"/>
    <w:rsid w:val="00F230BA"/>
    <w:rsid w:val="00F233DE"/>
    <w:rsid w:val="00F2367D"/>
    <w:rsid w:val="00F236EE"/>
    <w:rsid w:val="00F23AF1"/>
    <w:rsid w:val="00F23B09"/>
    <w:rsid w:val="00F23BF2"/>
    <w:rsid w:val="00F23CF4"/>
    <w:rsid w:val="00F23D90"/>
    <w:rsid w:val="00F23EA5"/>
    <w:rsid w:val="00F241CC"/>
    <w:rsid w:val="00F24344"/>
    <w:rsid w:val="00F244A8"/>
    <w:rsid w:val="00F244D1"/>
    <w:rsid w:val="00F2467E"/>
    <w:rsid w:val="00F24682"/>
    <w:rsid w:val="00F24757"/>
    <w:rsid w:val="00F247D1"/>
    <w:rsid w:val="00F248C8"/>
    <w:rsid w:val="00F2499A"/>
    <w:rsid w:val="00F24A09"/>
    <w:rsid w:val="00F24DFE"/>
    <w:rsid w:val="00F2504F"/>
    <w:rsid w:val="00F252A2"/>
    <w:rsid w:val="00F25477"/>
    <w:rsid w:val="00F255DD"/>
    <w:rsid w:val="00F256A6"/>
    <w:rsid w:val="00F256C2"/>
    <w:rsid w:val="00F2574C"/>
    <w:rsid w:val="00F25B01"/>
    <w:rsid w:val="00F25BB7"/>
    <w:rsid w:val="00F25E2F"/>
    <w:rsid w:val="00F25E49"/>
    <w:rsid w:val="00F264AE"/>
    <w:rsid w:val="00F264BF"/>
    <w:rsid w:val="00F2683C"/>
    <w:rsid w:val="00F26972"/>
    <w:rsid w:val="00F269C5"/>
    <w:rsid w:val="00F26A10"/>
    <w:rsid w:val="00F26F62"/>
    <w:rsid w:val="00F270FD"/>
    <w:rsid w:val="00F272E9"/>
    <w:rsid w:val="00F273F9"/>
    <w:rsid w:val="00F2747A"/>
    <w:rsid w:val="00F2751F"/>
    <w:rsid w:val="00F27575"/>
    <w:rsid w:val="00F27590"/>
    <w:rsid w:val="00F279DC"/>
    <w:rsid w:val="00F27B4C"/>
    <w:rsid w:val="00F27B8E"/>
    <w:rsid w:val="00F27BE8"/>
    <w:rsid w:val="00F27D53"/>
    <w:rsid w:val="00F27DFF"/>
    <w:rsid w:val="00F27EDB"/>
    <w:rsid w:val="00F3005C"/>
    <w:rsid w:val="00F30297"/>
    <w:rsid w:val="00F3032D"/>
    <w:rsid w:val="00F3035C"/>
    <w:rsid w:val="00F3040B"/>
    <w:rsid w:val="00F304A4"/>
    <w:rsid w:val="00F30777"/>
    <w:rsid w:val="00F30879"/>
    <w:rsid w:val="00F309EE"/>
    <w:rsid w:val="00F30A1F"/>
    <w:rsid w:val="00F30B3F"/>
    <w:rsid w:val="00F30C03"/>
    <w:rsid w:val="00F30ED6"/>
    <w:rsid w:val="00F30EE6"/>
    <w:rsid w:val="00F30F76"/>
    <w:rsid w:val="00F31229"/>
    <w:rsid w:val="00F31277"/>
    <w:rsid w:val="00F313DC"/>
    <w:rsid w:val="00F31442"/>
    <w:rsid w:val="00F31456"/>
    <w:rsid w:val="00F314A9"/>
    <w:rsid w:val="00F314B3"/>
    <w:rsid w:val="00F31562"/>
    <w:rsid w:val="00F3166B"/>
    <w:rsid w:val="00F3174D"/>
    <w:rsid w:val="00F3177D"/>
    <w:rsid w:val="00F31804"/>
    <w:rsid w:val="00F31926"/>
    <w:rsid w:val="00F31A26"/>
    <w:rsid w:val="00F31BE5"/>
    <w:rsid w:val="00F31E75"/>
    <w:rsid w:val="00F31EBD"/>
    <w:rsid w:val="00F31F88"/>
    <w:rsid w:val="00F3217F"/>
    <w:rsid w:val="00F3236D"/>
    <w:rsid w:val="00F323D9"/>
    <w:rsid w:val="00F3256C"/>
    <w:rsid w:val="00F328E3"/>
    <w:rsid w:val="00F32BDA"/>
    <w:rsid w:val="00F32E45"/>
    <w:rsid w:val="00F32EA4"/>
    <w:rsid w:val="00F32EB8"/>
    <w:rsid w:val="00F3300B"/>
    <w:rsid w:val="00F3311F"/>
    <w:rsid w:val="00F331EF"/>
    <w:rsid w:val="00F3320A"/>
    <w:rsid w:val="00F337C6"/>
    <w:rsid w:val="00F337F9"/>
    <w:rsid w:val="00F33929"/>
    <w:rsid w:val="00F33960"/>
    <w:rsid w:val="00F339A0"/>
    <w:rsid w:val="00F33B34"/>
    <w:rsid w:val="00F33B95"/>
    <w:rsid w:val="00F33BC0"/>
    <w:rsid w:val="00F33CC9"/>
    <w:rsid w:val="00F33DB8"/>
    <w:rsid w:val="00F33EC9"/>
    <w:rsid w:val="00F33F3C"/>
    <w:rsid w:val="00F343AD"/>
    <w:rsid w:val="00F343CC"/>
    <w:rsid w:val="00F34547"/>
    <w:rsid w:val="00F347BD"/>
    <w:rsid w:val="00F34A27"/>
    <w:rsid w:val="00F34B77"/>
    <w:rsid w:val="00F34BC3"/>
    <w:rsid w:val="00F34CB0"/>
    <w:rsid w:val="00F351A8"/>
    <w:rsid w:val="00F3535F"/>
    <w:rsid w:val="00F35385"/>
    <w:rsid w:val="00F353BA"/>
    <w:rsid w:val="00F354A8"/>
    <w:rsid w:val="00F355DC"/>
    <w:rsid w:val="00F35635"/>
    <w:rsid w:val="00F35694"/>
    <w:rsid w:val="00F3570C"/>
    <w:rsid w:val="00F359CA"/>
    <w:rsid w:val="00F359DD"/>
    <w:rsid w:val="00F359E0"/>
    <w:rsid w:val="00F35B4C"/>
    <w:rsid w:val="00F35CCF"/>
    <w:rsid w:val="00F35CEE"/>
    <w:rsid w:val="00F36169"/>
    <w:rsid w:val="00F3635C"/>
    <w:rsid w:val="00F36404"/>
    <w:rsid w:val="00F36567"/>
    <w:rsid w:val="00F36620"/>
    <w:rsid w:val="00F3678D"/>
    <w:rsid w:val="00F3685F"/>
    <w:rsid w:val="00F36E0F"/>
    <w:rsid w:val="00F37327"/>
    <w:rsid w:val="00F37329"/>
    <w:rsid w:val="00F37714"/>
    <w:rsid w:val="00F37746"/>
    <w:rsid w:val="00F37DF0"/>
    <w:rsid w:val="00F40069"/>
    <w:rsid w:val="00F40152"/>
    <w:rsid w:val="00F404DC"/>
    <w:rsid w:val="00F407C6"/>
    <w:rsid w:val="00F4090B"/>
    <w:rsid w:val="00F4095D"/>
    <w:rsid w:val="00F40BD0"/>
    <w:rsid w:val="00F40E3B"/>
    <w:rsid w:val="00F410ED"/>
    <w:rsid w:val="00F41157"/>
    <w:rsid w:val="00F41849"/>
    <w:rsid w:val="00F418A1"/>
    <w:rsid w:val="00F418BF"/>
    <w:rsid w:val="00F418E3"/>
    <w:rsid w:val="00F41A78"/>
    <w:rsid w:val="00F41DA8"/>
    <w:rsid w:val="00F425AA"/>
    <w:rsid w:val="00F42684"/>
    <w:rsid w:val="00F427AE"/>
    <w:rsid w:val="00F42878"/>
    <w:rsid w:val="00F42A45"/>
    <w:rsid w:val="00F42A85"/>
    <w:rsid w:val="00F42AA6"/>
    <w:rsid w:val="00F42C98"/>
    <w:rsid w:val="00F42F15"/>
    <w:rsid w:val="00F4325E"/>
    <w:rsid w:val="00F436DE"/>
    <w:rsid w:val="00F437EC"/>
    <w:rsid w:val="00F4388E"/>
    <w:rsid w:val="00F43A24"/>
    <w:rsid w:val="00F43F1F"/>
    <w:rsid w:val="00F442DC"/>
    <w:rsid w:val="00F446CA"/>
    <w:rsid w:val="00F446D8"/>
    <w:rsid w:val="00F44770"/>
    <w:rsid w:val="00F44A07"/>
    <w:rsid w:val="00F44A24"/>
    <w:rsid w:val="00F44ABD"/>
    <w:rsid w:val="00F44CD0"/>
    <w:rsid w:val="00F44E6C"/>
    <w:rsid w:val="00F44E77"/>
    <w:rsid w:val="00F44F48"/>
    <w:rsid w:val="00F4500A"/>
    <w:rsid w:val="00F45161"/>
    <w:rsid w:val="00F45818"/>
    <w:rsid w:val="00F45886"/>
    <w:rsid w:val="00F4596C"/>
    <w:rsid w:val="00F45A25"/>
    <w:rsid w:val="00F45AB4"/>
    <w:rsid w:val="00F45CBB"/>
    <w:rsid w:val="00F45E82"/>
    <w:rsid w:val="00F45E9E"/>
    <w:rsid w:val="00F45EBA"/>
    <w:rsid w:val="00F46003"/>
    <w:rsid w:val="00F4606B"/>
    <w:rsid w:val="00F460D0"/>
    <w:rsid w:val="00F46100"/>
    <w:rsid w:val="00F461B7"/>
    <w:rsid w:val="00F46794"/>
    <w:rsid w:val="00F46B2F"/>
    <w:rsid w:val="00F46C31"/>
    <w:rsid w:val="00F46D2A"/>
    <w:rsid w:val="00F46E40"/>
    <w:rsid w:val="00F46F96"/>
    <w:rsid w:val="00F4704A"/>
    <w:rsid w:val="00F47092"/>
    <w:rsid w:val="00F471D2"/>
    <w:rsid w:val="00F472B1"/>
    <w:rsid w:val="00F4746A"/>
    <w:rsid w:val="00F474C6"/>
    <w:rsid w:val="00F476AA"/>
    <w:rsid w:val="00F4773E"/>
    <w:rsid w:val="00F4774F"/>
    <w:rsid w:val="00F47D3E"/>
    <w:rsid w:val="00F47D59"/>
    <w:rsid w:val="00F502C2"/>
    <w:rsid w:val="00F502C4"/>
    <w:rsid w:val="00F50301"/>
    <w:rsid w:val="00F50487"/>
    <w:rsid w:val="00F50784"/>
    <w:rsid w:val="00F5087F"/>
    <w:rsid w:val="00F50BA3"/>
    <w:rsid w:val="00F50DC9"/>
    <w:rsid w:val="00F50E32"/>
    <w:rsid w:val="00F50FE0"/>
    <w:rsid w:val="00F5105C"/>
    <w:rsid w:val="00F51139"/>
    <w:rsid w:val="00F5127F"/>
    <w:rsid w:val="00F51560"/>
    <w:rsid w:val="00F518B6"/>
    <w:rsid w:val="00F51D70"/>
    <w:rsid w:val="00F51D7F"/>
    <w:rsid w:val="00F51E22"/>
    <w:rsid w:val="00F51EE2"/>
    <w:rsid w:val="00F51FB6"/>
    <w:rsid w:val="00F525F1"/>
    <w:rsid w:val="00F52634"/>
    <w:rsid w:val="00F527FF"/>
    <w:rsid w:val="00F5288C"/>
    <w:rsid w:val="00F52A81"/>
    <w:rsid w:val="00F52B38"/>
    <w:rsid w:val="00F52BFF"/>
    <w:rsid w:val="00F52C20"/>
    <w:rsid w:val="00F52C54"/>
    <w:rsid w:val="00F52D93"/>
    <w:rsid w:val="00F52DA6"/>
    <w:rsid w:val="00F52E46"/>
    <w:rsid w:val="00F53022"/>
    <w:rsid w:val="00F533BC"/>
    <w:rsid w:val="00F53419"/>
    <w:rsid w:val="00F534BA"/>
    <w:rsid w:val="00F5365A"/>
    <w:rsid w:val="00F53786"/>
    <w:rsid w:val="00F53A7A"/>
    <w:rsid w:val="00F53BB9"/>
    <w:rsid w:val="00F53CF5"/>
    <w:rsid w:val="00F53D2F"/>
    <w:rsid w:val="00F53E03"/>
    <w:rsid w:val="00F53FE4"/>
    <w:rsid w:val="00F5427F"/>
    <w:rsid w:val="00F542DF"/>
    <w:rsid w:val="00F5466C"/>
    <w:rsid w:val="00F54679"/>
    <w:rsid w:val="00F54731"/>
    <w:rsid w:val="00F54924"/>
    <w:rsid w:val="00F54AC8"/>
    <w:rsid w:val="00F54B40"/>
    <w:rsid w:val="00F54B6D"/>
    <w:rsid w:val="00F54C2F"/>
    <w:rsid w:val="00F54F29"/>
    <w:rsid w:val="00F55259"/>
    <w:rsid w:val="00F5525E"/>
    <w:rsid w:val="00F55295"/>
    <w:rsid w:val="00F55406"/>
    <w:rsid w:val="00F55571"/>
    <w:rsid w:val="00F559C4"/>
    <w:rsid w:val="00F55A17"/>
    <w:rsid w:val="00F55AD9"/>
    <w:rsid w:val="00F55B61"/>
    <w:rsid w:val="00F56237"/>
    <w:rsid w:val="00F5640E"/>
    <w:rsid w:val="00F56442"/>
    <w:rsid w:val="00F5653D"/>
    <w:rsid w:val="00F5661A"/>
    <w:rsid w:val="00F566F9"/>
    <w:rsid w:val="00F569F7"/>
    <w:rsid w:val="00F56A8A"/>
    <w:rsid w:val="00F56B11"/>
    <w:rsid w:val="00F56B2D"/>
    <w:rsid w:val="00F56EFC"/>
    <w:rsid w:val="00F56F56"/>
    <w:rsid w:val="00F56F5E"/>
    <w:rsid w:val="00F57005"/>
    <w:rsid w:val="00F57090"/>
    <w:rsid w:val="00F570CD"/>
    <w:rsid w:val="00F570DE"/>
    <w:rsid w:val="00F57163"/>
    <w:rsid w:val="00F572C6"/>
    <w:rsid w:val="00F572E7"/>
    <w:rsid w:val="00F5736F"/>
    <w:rsid w:val="00F5739C"/>
    <w:rsid w:val="00F57474"/>
    <w:rsid w:val="00F5751A"/>
    <w:rsid w:val="00F578F1"/>
    <w:rsid w:val="00F57BED"/>
    <w:rsid w:val="00F57D6E"/>
    <w:rsid w:val="00F57E0F"/>
    <w:rsid w:val="00F57F06"/>
    <w:rsid w:val="00F57FF9"/>
    <w:rsid w:val="00F60009"/>
    <w:rsid w:val="00F600A5"/>
    <w:rsid w:val="00F60198"/>
    <w:rsid w:val="00F601E7"/>
    <w:rsid w:val="00F60256"/>
    <w:rsid w:val="00F60259"/>
    <w:rsid w:val="00F60273"/>
    <w:rsid w:val="00F602EB"/>
    <w:rsid w:val="00F60389"/>
    <w:rsid w:val="00F6055E"/>
    <w:rsid w:val="00F6092A"/>
    <w:rsid w:val="00F60AFF"/>
    <w:rsid w:val="00F60B12"/>
    <w:rsid w:val="00F60F13"/>
    <w:rsid w:val="00F611D0"/>
    <w:rsid w:val="00F612BD"/>
    <w:rsid w:val="00F612E5"/>
    <w:rsid w:val="00F6133E"/>
    <w:rsid w:val="00F615D5"/>
    <w:rsid w:val="00F615EA"/>
    <w:rsid w:val="00F61677"/>
    <w:rsid w:val="00F616B2"/>
    <w:rsid w:val="00F616E9"/>
    <w:rsid w:val="00F6182F"/>
    <w:rsid w:val="00F619C2"/>
    <w:rsid w:val="00F61AD7"/>
    <w:rsid w:val="00F61C3A"/>
    <w:rsid w:val="00F620AD"/>
    <w:rsid w:val="00F62232"/>
    <w:rsid w:val="00F62247"/>
    <w:rsid w:val="00F62268"/>
    <w:rsid w:val="00F622D2"/>
    <w:rsid w:val="00F6230A"/>
    <w:rsid w:val="00F623D1"/>
    <w:rsid w:val="00F623F0"/>
    <w:rsid w:val="00F62544"/>
    <w:rsid w:val="00F62631"/>
    <w:rsid w:val="00F62683"/>
    <w:rsid w:val="00F62795"/>
    <w:rsid w:val="00F627E3"/>
    <w:rsid w:val="00F6289D"/>
    <w:rsid w:val="00F62A47"/>
    <w:rsid w:val="00F62B96"/>
    <w:rsid w:val="00F62C44"/>
    <w:rsid w:val="00F62DCA"/>
    <w:rsid w:val="00F62E74"/>
    <w:rsid w:val="00F62ED6"/>
    <w:rsid w:val="00F62FC8"/>
    <w:rsid w:val="00F62FEE"/>
    <w:rsid w:val="00F6308D"/>
    <w:rsid w:val="00F630C1"/>
    <w:rsid w:val="00F63260"/>
    <w:rsid w:val="00F6341C"/>
    <w:rsid w:val="00F635F6"/>
    <w:rsid w:val="00F63925"/>
    <w:rsid w:val="00F639E4"/>
    <w:rsid w:val="00F63AFB"/>
    <w:rsid w:val="00F63DD7"/>
    <w:rsid w:val="00F63E02"/>
    <w:rsid w:val="00F63EE0"/>
    <w:rsid w:val="00F641C8"/>
    <w:rsid w:val="00F647EB"/>
    <w:rsid w:val="00F64862"/>
    <w:rsid w:val="00F649B2"/>
    <w:rsid w:val="00F64CA3"/>
    <w:rsid w:val="00F64D29"/>
    <w:rsid w:val="00F64F50"/>
    <w:rsid w:val="00F65296"/>
    <w:rsid w:val="00F6541D"/>
    <w:rsid w:val="00F654A2"/>
    <w:rsid w:val="00F6559F"/>
    <w:rsid w:val="00F6563C"/>
    <w:rsid w:val="00F6572D"/>
    <w:rsid w:val="00F65977"/>
    <w:rsid w:val="00F66017"/>
    <w:rsid w:val="00F66195"/>
    <w:rsid w:val="00F661A8"/>
    <w:rsid w:val="00F6638E"/>
    <w:rsid w:val="00F6639B"/>
    <w:rsid w:val="00F66456"/>
    <w:rsid w:val="00F6679C"/>
    <w:rsid w:val="00F66839"/>
    <w:rsid w:val="00F6689B"/>
    <w:rsid w:val="00F668A4"/>
    <w:rsid w:val="00F669CD"/>
    <w:rsid w:val="00F66AA5"/>
    <w:rsid w:val="00F66B74"/>
    <w:rsid w:val="00F66DF9"/>
    <w:rsid w:val="00F66E3A"/>
    <w:rsid w:val="00F673AD"/>
    <w:rsid w:val="00F675C1"/>
    <w:rsid w:val="00F675DD"/>
    <w:rsid w:val="00F676A3"/>
    <w:rsid w:val="00F677FC"/>
    <w:rsid w:val="00F67868"/>
    <w:rsid w:val="00F67B40"/>
    <w:rsid w:val="00F67B4E"/>
    <w:rsid w:val="00F67E0B"/>
    <w:rsid w:val="00F67EB1"/>
    <w:rsid w:val="00F67EFA"/>
    <w:rsid w:val="00F67F82"/>
    <w:rsid w:val="00F70142"/>
    <w:rsid w:val="00F7022C"/>
    <w:rsid w:val="00F70340"/>
    <w:rsid w:val="00F703F2"/>
    <w:rsid w:val="00F70816"/>
    <w:rsid w:val="00F70BBE"/>
    <w:rsid w:val="00F70C68"/>
    <w:rsid w:val="00F70DAE"/>
    <w:rsid w:val="00F70DC7"/>
    <w:rsid w:val="00F70DE0"/>
    <w:rsid w:val="00F70F0B"/>
    <w:rsid w:val="00F713B9"/>
    <w:rsid w:val="00F715F8"/>
    <w:rsid w:val="00F71797"/>
    <w:rsid w:val="00F717E9"/>
    <w:rsid w:val="00F71A37"/>
    <w:rsid w:val="00F71D02"/>
    <w:rsid w:val="00F71D3E"/>
    <w:rsid w:val="00F71D61"/>
    <w:rsid w:val="00F71F16"/>
    <w:rsid w:val="00F71F82"/>
    <w:rsid w:val="00F72252"/>
    <w:rsid w:val="00F725B1"/>
    <w:rsid w:val="00F726B6"/>
    <w:rsid w:val="00F72756"/>
    <w:rsid w:val="00F7290E"/>
    <w:rsid w:val="00F72AA9"/>
    <w:rsid w:val="00F72ABB"/>
    <w:rsid w:val="00F72B34"/>
    <w:rsid w:val="00F72B8F"/>
    <w:rsid w:val="00F72BB9"/>
    <w:rsid w:val="00F72BF7"/>
    <w:rsid w:val="00F730DC"/>
    <w:rsid w:val="00F73335"/>
    <w:rsid w:val="00F73405"/>
    <w:rsid w:val="00F73438"/>
    <w:rsid w:val="00F737DB"/>
    <w:rsid w:val="00F73802"/>
    <w:rsid w:val="00F73C4D"/>
    <w:rsid w:val="00F73CB7"/>
    <w:rsid w:val="00F73E51"/>
    <w:rsid w:val="00F740F8"/>
    <w:rsid w:val="00F7427B"/>
    <w:rsid w:val="00F74903"/>
    <w:rsid w:val="00F74C99"/>
    <w:rsid w:val="00F74D15"/>
    <w:rsid w:val="00F74D65"/>
    <w:rsid w:val="00F74F1E"/>
    <w:rsid w:val="00F75146"/>
    <w:rsid w:val="00F7523E"/>
    <w:rsid w:val="00F75740"/>
    <w:rsid w:val="00F75780"/>
    <w:rsid w:val="00F757CA"/>
    <w:rsid w:val="00F75B28"/>
    <w:rsid w:val="00F75B5A"/>
    <w:rsid w:val="00F75B72"/>
    <w:rsid w:val="00F75C6A"/>
    <w:rsid w:val="00F76139"/>
    <w:rsid w:val="00F7613A"/>
    <w:rsid w:val="00F7617D"/>
    <w:rsid w:val="00F76180"/>
    <w:rsid w:val="00F76251"/>
    <w:rsid w:val="00F762AC"/>
    <w:rsid w:val="00F763AD"/>
    <w:rsid w:val="00F76619"/>
    <w:rsid w:val="00F766A3"/>
    <w:rsid w:val="00F76928"/>
    <w:rsid w:val="00F769E7"/>
    <w:rsid w:val="00F76A21"/>
    <w:rsid w:val="00F76A3F"/>
    <w:rsid w:val="00F76AF3"/>
    <w:rsid w:val="00F771FB"/>
    <w:rsid w:val="00F774AB"/>
    <w:rsid w:val="00F77536"/>
    <w:rsid w:val="00F7758E"/>
    <w:rsid w:val="00F77747"/>
    <w:rsid w:val="00F7794C"/>
    <w:rsid w:val="00F77AC5"/>
    <w:rsid w:val="00F77C90"/>
    <w:rsid w:val="00F77E9E"/>
    <w:rsid w:val="00F8034A"/>
    <w:rsid w:val="00F80616"/>
    <w:rsid w:val="00F80658"/>
    <w:rsid w:val="00F808B8"/>
    <w:rsid w:val="00F809EF"/>
    <w:rsid w:val="00F80AB9"/>
    <w:rsid w:val="00F80B23"/>
    <w:rsid w:val="00F80D5A"/>
    <w:rsid w:val="00F80F76"/>
    <w:rsid w:val="00F81297"/>
    <w:rsid w:val="00F8149F"/>
    <w:rsid w:val="00F814A7"/>
    <w:rsid w:val="00F815AD"/>
    <w:rsid w:val="00F816B9"/>
    <w:rsid w:val="00F8176A"/>
    <w:rsid w:val="00F81906"/>
    <w:rsid w:val="00F8195B"/>
    <w:rsid w:val="00F819A1"/>
    <w:rsid w:val="00F81A46"/>
    <w:rsid w:val="00F81A59"/>
    <w:rsid w:val="00F81AF0"/>
    <w:rsid w:val="00F81B92"/>
    <w:rsid w:val="00F81CA8"/>
    <w:rsid w:val="00F82086"/>
    <w:rsid w:val="00F8220E"/>
    <w:rsid w:val="00F8220F"/>
    <w:rsid w:val="00F8241F"/>
    <w:rsid w:val="00F82467"/>
    <w:rsid w:val="00F824A4"/>
    <w:rsid w:val="00F82579"/>
    <w:rsid w:val="00F82623"/>
    <w:rsid w:val="00F82636"/>
    <w:rsid w:val="00F82746"/>
    <w:rsid w:val="00F82B72"/>
    <w:rsid w:val="00F82C7B"/>
    <w:rsid w:val="00F82C8B"/>
    <w:rsid w:val="00F82CC9"/>
    <w:rsid w:val="00F82EDC"/>
    <w:rsid w:val="00F833C7"/>
    <w:rsid w:val="00F835A2"/>
    <w:rsid w:val="00F8365D"/>
    <w:rsid w:val="00F836F9"/>
    <w:rsid w:val="00F8399B"/>
    <w:rsid w:val="00F83E03"/>
    <w:rsid w:val="00F83FD0"/>
    <w:rsid w:val="00F840E6"/>
    <w:rsid w:val="00F840F8"/>
    <w:rsid w:val="00F841F9"/>
    <w:rsid w:val="00F8435D"/>
    <w:rsid w:val="00F84377"/>
    <w:rsid w:val="00F84464"/>
    <w:rsid w:val="00F845D7"/>
    <w:rsid w:val="00F846C9"/>
    <w:rsid w:val="00F8470C"/>
    <w:rsid w:val="00F847EB"/>
    <w:rsid w:val="00F847EC"/>
    <w:rsid w:val="00F849CE"/>
    <w:rsid w:val="00F84C31"/>
    <w:rsid w:val="00F84CBA"/>
    <w:rsid w:val="00F84E75"/>
    <w:rsid w:val="00F84F99"/>
    <w:rsid w:val="00F85059"/>
    <w:rsid w:val="00F85363"/>
    <w:rsid w:val="00F854CA"/>
    <w:rsid w:val="00F854FB"/>
    <w:rsid w:val="00F855FC"/>
    <w:rsid w:val="00F85705"/>
    <w:rsid w:val="00F858E3"/>
    <w:rsid w:val="00F85B01"/>
    <w:rsid w:val="00F85C7B"/>
    <w:rsid w:val="00F85E2D"/>
    <w:rsid w:val="00F860EE"/>
    <w:rsid w:val="00F86155"/>
    <w:rsid w:val="00F86262"/>
    <w:rsid w:val="00F864B2"/>
    <w:rsid w:val="00F8660E"/>
    <w:rsid w:val="00F866CF"/>
    <w:rsid w:val="00F86954"/>
    <w:rsid w:val="00F869D1"/>
    <w:rsid w:val="00F86B9B"/>
    <w:rsid w:val="00F86C95"/>
    <w:rsid w:val="00F86CB8"/>
    <w:rsid w:val="00F86E8E"/>
    <w:rsid w:val="00F8725A"/>
    <w:rsid w:val="00F8765C"/>
    <w:rsid w:val="00F878BB"/>
    <w:rsid w:val="00F87FA8"/>
    <w:rsid w:val="00F87FC0"/>
    <w:rsid w:val="00F90255"/>
    <w:rsid w:val="00F90422"/>
    <w:rsid w:val="00F9076E"/>
    <w:rsid w:val="00F9085D"/>
    <w:rsid w:val="00F908F4"/>
    <w:rsid w:val="00F90964"/>
    <w:rsid w:val="00F90A34"/>
    <w:rsid w:val="00F90B4B"/>
    <w:rsid w:val="00F90E08"/>
    <w:rsid w:val="00F9119B"/>
    <w:rsid w:val="00F911E2"/>
    <w:rsid w:val="00F9124E"/>
    <w:rsid w:val="00F91380"/>
    <w:rsid w:val="00F913F2"/>
    <w:rsid w:val="00F91429"/>
    <w:rsid w:val="00F915BE"/>
    <w:rsid w:val="00F91602"/>
    <w:rsid w:val="00F916FF"/>
    <w:rsid w:val="00F9172D"/>
    <w:rsid w:val="00F919B6"/>
    <w:rsid w:val="00F919D9"/>
    <w:rsid w:val="00F91DA7"/>
    <w:rsid w:val="00F91E31"/>
    <w:rsid w:val="00F91E7D"/>
    <w:rsid w:val="00F91FFE"/>
    <w:rsid w:val="00F92056"/>
    <w:rsid w:val="00F92154"/>
    <w:rsid w:val="00F92253"/>
    <w:rsid w:val="00F92267"/>
    <w:rsid w:val="00F92279"/>
    <w:rsid w:val="00F922E1"/>
    <w:rsid w:val="00F923D6"/>
    <w:rsid w:val="00F92425"/>
    <w:rsid w:val="00F92942"/>
    <w:rsid w:val="00F92A04"/>
    <w:rsid w:val="00F92B6D"/>
    <w:rsid w:val="00F92CF2"/>
    <w:rsid w:val="00F93039"/>
    <w:rsid w:val="00F930C6"/>
    <w:rsid w:val="00F934AE"/>
    <w:rsid w:val="00F93547"/>
    <w:rsid w:val="00F938CC"/>
    <w:rsid w:val="00F93B77"/>
    <w:rsid w:val="00F93DEB"/>
    <w:rsid w:val="00F93EB0"/>
    <w:rsid w:val="00F94174"/>
    <w:rsid w:val="00F9437A"/>
    <w:rsid w:val="00F944B2"/>
    <w:rsid w:val="00F94925"/>
    <w:rsid w:val="00F94BD9"/>
    <w:rsid w:val="00F94D9F"/>
    <w:rsid w:val="00F94E42"/>
    <w:rsid w:val="00F94F54"/>
    <w:rsid w:val="00F95066"/>
    <w:rsid w:val="00F9507F"/>
    <w:rsid w:val="00F95193"/>
    <w:rsid w:val="00F951C6"/>
    <w:rsid w:val="00F955DD"/>
    <w:rsid w:val="00F9560D"/>
    <w:rsid w:val="00F9572F"/>
    <w:rsid w:val="00F95921"/>
    <w:rsid w:val="00F95D9C"/>
    <w:rsid w:val="00F960DD"/>
    <w:rsid w:val="00F9613D"/>
    <w:rsid w:val="00F963A8"/>
    <w:rsid w:val="00F966B7"/>
    <w:rsid w:val="00F967EB"/>
    <w:rsid w:val="00F968A7"/>
    <w:rsid w:val="00F96917"/>
    <w:rsid w:val="00F96924"/>
    <w:rsid w:val="00F96932"/>
    <w:rsid w:val="00F96A6C"/>
    <w:rsid w:val="00F96AEE"/>
    <w:rsid w:val="00F96BFB"/>
    <w:rsid w:val="00F96CAC"/>
    <w:rsid w:val="00F96CD8"/>
    <w:rsid w:val="00F96D3E"/>
    <w:rsid w:val="00F96E3E"/>
    <w:rsid w:val="00F96E50"/>
    <w:rsid w:val="00F96F6A"/>
    <w:rsid w:val="00F96FB1"/>
    <w:rsid w:val="00F9700B"/>
    <w:rsid w:val="00F973EB"/>
    <w:rsid w:val="00F974FA"/>
    <w:rsid w:val="00F976AC"/>
    <w:rsid w:val="00F9775A"/>
    <w:rsid w:val="00F97948"/>
    <w:rsid w:val="00F97A11"/>
    <w:rsid w:val="00F97D75"/>
    <w:rsid w:val="00F97FB2"/>
    <w:rsid w:val="00FA002A"/>
    <w:rsid w:val="00FA0183"/>
    <w:rsid w:val="00FA05FF"/>
    <w:rsid w:val="00FA080A"/>
    <w:rsid w:val="00FA0828"/>
    <w:rsid w:val="00FA084F"/>
    <w:rsid w:val="00FA092B"/>
    <w:rsid w:val="00FA0BB0"/>
    <w:rsid w:val="00FA0EB4"/>
    <w:rsid w:val="00FA0F1F"/>
    <w:rsid w:val="00FA12DA"/>
    <w:rsid w:val="00FA141E"/>
    <w:rsid w:val="00FA1438"/>
    <w:rsid w:val="00FA1518"/>
    <w:rsid w:val="00FA165A"/>
    <w:rsid w:val="00FA17A6"/>
    <w:rsid w:val="00FA18D7"/>
    <w:rsid w:val="00FA19D0"/>
    <w:rsid w:val="00FA1A7F"/>
    <w:rsid w:val="00FA1B0B"/>
    <w:rsid w:val="00FA1C9E"/>
    <w:rsid w:val="00FA249A"/>
    <w:rsid w:val="00FA2744"/>
    <w:rsid w:val="00FA276A"/>
    <w:rsid w:val="00FA2AF1"/>
    <w:rsid w:val="00FA2B34"/>
    <w:rsid w:val="00FA2D3E"/>
    <w:rsid w:val="00FA2E48"/>
    <w:rsid w:val="00FA2EAF"/>
    <w:rsid w:val="00FA3503"/>
    <w:rsid w:val="00FA37D4"/>
    <w:rsid w:val="00FA383E"/>
    <w:rsid w:val="00FA3ABE"/>
    <w:rsid w:val="00FA3C5D"/>
    <w:rsid w:val="00FA3CE4"/>
    <w:rsid w:val="00FA3F12"/>
    <w:rsid w:val="00FA40AC"/>
    <w:rsid w:val="00FA415A"/>
    <w:rsid w:val="00FA434B"/>
    <w:rsid w:val="00FA4424"/>
    <w:rsid w:val="00FA46C1"/>
    <w:rsid w:val="00FA474D"/>
    <w:rsid w:val="00FA4752"/>
    <w:rsid w:val="00FA4AC2"/>
    <w:rsid w:val="00FA4B11"/>
    <w:rsid w:val="00FA4E6B"/>
    <w:rsid w:val="00FA4EFC"/>
    <w:rsid w:val="00FA4F59"/>
    <w:rsid w:val="00FA4F72"/>
    <w:rsid w:val="00FA5104"/>
    <w:rsid w:val="00FA5149"/>
    <w:rsid w:val="00FA53CF"/>
    <w:rsid w:val="00FA58E9"/>
    <w:rsid w:val="00FA5A9B"/>
    <w:rsid w:val="00FA5BA5"/>
    <w:rsid w:val="00FA5C22"/>
    <w:rsid w:val="00FA5ED4"/>
    <w:rsid w:val="00FA6711"/>
    <w:rsid w:val="00FA6811"/>
    <w:rsid w:val="00FA6ACA"/>
    <w:rsid w:val="00FA6BD5"/>
    <w:rsid w:val="00FA6C16"/>
    <w:rsid w:val="00FA6C9D"/>
    <w:rsid w:val="00FA6CE3"/>
    <w:rsid w:val="00FA6CF2"/>
    <w:rsid w:val="00FA6D2C"/>
    <w:rsid w:val="00FA6E93"/>
    <w:rsid w:val="00FA6EAB"/>
    <w:rsid w:val="00FA7157"/>
    <w:rsid w:val="00FA719D"/>
    <w:rsid w:val="00FA71CB"/>
    <w:rsid w:val="00FA74B5"/>
    <w:rsid w:val="00FA7511"/>
    <w:rsid w:val="00FA79C1"/>
    <w:rsid w:val="00FA7A75"/>
    <w:rsid w:val="00FA7A7C"/>
    <w:rsid w:val="00FA7C59"/>
    <w:rsid w:val="00FA7E1E"/>
    <w:rsid w:val="00FA7E2C"/>
    <w:rsid w:val="00FB0217"/>
    <w:rsid w:val="00FB02C3"/>
    <w:rsid w:val="00FB02C7"/>
    <w:rsid w:val="00FB049C"/>
    <w:rsid w:val="00FB051C"/>
    <w:rsid w:val="00FB05CA"/>
    <w:rsid w:val="00FB0908"/>
    <w:rsid w:val="00FB0C49"/>
    <w:rsid w:val="00FB0C6E"/>
    <w:rsid w:val="00FB0CA1"/>
    <w:rsid w:val="00FB0D2C"/>
    <w:rsid w:val="00FB0E3F"/>
    <w:rsid w:val="00FB10C2"/>
    <w:rsid w:val="00FB10FB"/>
    <w:rsid w:val="00FB11B7"/>
    <w:rsid w:val="00FB15E7"/>
    <w:rsid w:val="00FB1653"/>
    <w:rsid w:val="00FB1674"/>
    <w:rsid w:val="00FB1762"/>
    <w:rsid w:val="00FB18DD"/>
    <w:rsid w:val="00FB1995"/>
    <w:rsid w:val="00FB1AFC"/>
    <w:rsid w:val="00FB1B4B"/>
    <w:rsid w:val="00FB1C21"/>
    <w:rsid w:val="00FB1DCA"/>
    <w:rsid w:val="00FB1E27"/>
    <w:rsid w:val="00FB1E36"/>
    <w:rsid w:val="00FB1E4D"/>
    <w:rsid w:val="00FB1EE7"/>
    <w:rsid w:val="00FB1F30"/>
    <w:rsid w:val="00FB20B8"/>
    <w:rsid w:val="00FB2398"/>
    <w:rsid w:val="00FB23A4"/>
    <w:rsid w:val="00FB2680"/>
    <w:rsid w:val="00FB2847"/>
    <w:rsid w:val="00FB292C"/>
    <w:rsid w:val="00FB293D"/>
    <w:rsid w:val="00FB2971"/>
    <w:rsid w:val="00FB2B6E"/>
    <w:rsid w:val="00FB2C78"/>
    <w:rsid w:val="00FB2D44"/>
    <w:rsid w:val="00FB2F1C"/>
    <w:rsid w:val="00FB3015"/>
    <w:rsid w:val="00FB3142"/>
    <w:rsid w:val="00FB31FD"/>
    <w:rsid w:val="00FB3220"/>
    <w:rsid w:val="00FB329F"/>
    <w:rsid w:val="00FB3393"/>
    <w:rsid w:val="00FB353A"/>
    <w:rsid w:val="00FB3570"/>
    <w:rsid w:val="00FB362E"/>
    <w:rsid w:val="00FB3637"/>
    <w:rsid w:val="00FB36F4"/>
    <w:rsid w:val="00FB3962"/>
    <w:rsid w:val="00FB3CE2"/>
    <w:rsid w:val="00FB44D2"/>
    <w:rsid w:val="00FB455C"/>
    <w:rsid w:val="00FB4929"/>
    <w:rsid w:val="00FB49B7"/>
    <w:rsid w:val="00FB4AD6"/>
    <w:rsid w:val="00FB4D21"/>
    <w:rsid w:val="00FB5064"/>
    <w:rsid w:val="00FB52FB"/>
    <w:rsid w:val="00FB531C"/>
    <w:rsid w:val="00FB5630"/>
    <w:rsid w:val="00FB5653"/>
    <w:rsid w:val="00FB565B"/>
    <w:rsid w:val="00FB596A"/>
    <w:rsid w:val="00FB5A24"/>
    <w:rsid w:val="00FB5AA5"/>
    <w:rsid w:val="00FB5E62"/>
    <w:rsid w:val="00FB5E68"/>
    <w:rsid w:val="00FB5F3D"/>
    <w:rsid w:val="00FB60B7"/>
    <w:rsid w:val="00FB60C7"/>
    <w:rsid w:val="00FB61AE"/>
    <w:rsid w:val="00FB61DF"/>
    <w:rsid w:val="00FB6261"/>
    <w:rsid w:val="00FB631F"/>
    <w:rsid w:val="00FB65C3"/>
    <w:rsid w:val="00FB66B1"/>
    <w:rsid w:val="00FB66BB"/>
    <w:rsid w:val="00FB6743"/>
    <w:rsid w:val="00FB67E0"/>
    <w:rsid w:val="00FB6E00"/>
    <w:rsid w:val="00FB72E3"/>
    <w:rsid w:val="00FB7419"/>
    <w:rsid w:val="00FB757E"/>
    <w:rsid w:val="00FB762B"/>
    <w:rsid w:val="00FB7B04"/>
    <w:rsid w:val="00FC0098"/>
    <w:rsid w:val="00FC013C"/>
    <w:rsid w:val="00FC02A2"/>
    <w:rsid w:val="00FC03CD"/>
    <w:rsid w:val="00FC044C"/>
    <w:rsid w:val="00FC047B"/>
    <w:rsid w:val="00FC0570"/>
    <w:rsid w:val="00FC0623"/>
    <w:rsid w:val="00FC08DC"/>
    <w:rsid w:val="00FC094E"/>
    <w:rsid w:val="00FC0BB4"/>
    <w:rsid w:val="00FC0C11"/>
    <w:rsid w:val="00FC0C2C"/>
    <w:rsid w:val="00FC0C3E"/>
    <w:rsid w:val="00FC0E42"/>
    <w:rsid w:val="00FC110E"/>
    <w:rsid w:val="00FC12C5"/>
    <w:rsid w:val="00FC134E"/>
    <w:rsid w:val="00FC13B0"/>
    <w:rsid w:val="00FC13EB"/>
    <w:rsid w:val="00FC15DC"/>
    <w:rsid w:val="00FC189A"/>
    <w:rsid w:val="00FC1B1D"/>
    <w:rsid w:val="00FC1BA1"/>
    <w:rsid w:val="00FC1C96"/>
    <w:rsid w:val="00FC1E5E"/>
    <w:rsid w:val="00FC1EBD"/>
    <w:rsid w:val="00FC1EFF"/>
    <w:rsid w:val="00FC20DD"/>
    <w:rsid w:val="00FC2198"/>
    <w:rsid w:val="00FC21AF"/>
    <w:rsid w:val="00FC23F4"/>
    <w:rsid w:val="00FC2B5C"/>
    <w:rsid w:val="00FC2CA9"/>
    <w:rsid w:val="00FC2CE7"/>
    <w:rsid w:val="00FC2DD7"/>
    <w:rsid w:val="00FC31A3"/>
    <w:rsid w:val="00FC31BB"/>
    <w:rsid w:val="00FC3366"/>
    <w:rsid w:val="00FC3987"/>
    <w:rsid w:val="00FC3AB6"/>
    <w:rsid w:val="00FC3AFD"/>
    <w:rsid w:val="00FC3B05"/>
    <w:rsid w:val="00FC3E96"/>
    <w:rsid w:val="00FC3F70"/>
    <w:rsid w:val="00FC478E"/>
    <w:rsid w:val="00FC48CA"/>
    <w:rsid w:val="00FC494A"/>
    <w:rsid w:val="00FC4A37"/>
    <w:rsid w:val="00FC4BEB"/>
    <w:rsid w:val="00FC4D3A"/>
    <w:rsid w:val="00FC4E1B"/>
    <w:rsid w:val="00FC5024"/>
    <w:rsid w:val="00FC508D"/>
    <w:rsid w:val="00FC512D"/>
    <w:rsid w:val="00FC5334"/>
    <w:rsid w:val="00FC536A"/>
    <w:rsid w:val="00FC56C6"/>
    <w:rsid w:val="00FC5A78"/>
    <w:rsid w:val="00FC61A0"/>
    <w:rsid w:val="00FC6219"/>
    <w:rsid w:val="00FC631B"/>
    <w:rsid w:val="00FC63EC"/>
    <w:rsid w:val="00FC6454"/>
    <w:rsid w:val="00FC64E9"/>
    <w:rsid w:val="00FC6528"/>
    <w:rsid w:val="00FC666B"/>
    <w:rsid w:val="00FC6913"/>
    <w:rsid w:val="00FC69B3"/>
    <w:rsid w:val="00FC6ADA"/>
    <w:rsid w:val="00FC6BEB"/>
    <w:rsid w:val="00FC6D89"/>
    <w:rsid w:val="00FC709F"/>
    <w:rsid w:val="00FC717E"/>
    <w:rsid w:val="00FC7664"/>
    <w:rsid w:val="00FC7815"/>
    <w:rsid w:val="00FC7862"/>
    <w:rsid w:val="00FC78F4"/>
    <w:rsid w:val="00FC79AD"/>
    <w:rsid w:val="00FC7A00"/>
    <w:rsid w:val="00FC7B1E"/>
    <w:rsid w:val="00FC7BD8"/>
    <w:rsid w:val="00FC7C00"/>
    <w:rsid w:val="00FC7C15"/>
    <w:rsid w:val="00FC7DC5"/>
    <w:rsid w:val="00FC7F37"/>
    <w:rsid w:val="00FD0145"/>
    <w:rsid w:val="00FD0655"/>
    <w:rsid w:val="00FD082F"/>
    <w:rsid w:val="00FD0850"/>
    <w:rsid w:val="00FD0908"/>
    <w:rsid w:val="00FD0963"/>
    <w:rsid w:val="00FD0B3C"/>
    <w:rsid w:val="00FD0B69"/>
    <w:rsid w:val="00FD0C06"/>
    <w:rsid w:val="00FD0DD3"/>
    <w:rsid w:val="00FD123A"/>
    <w:rsid w:val="00FD17E7"/>
    <w:rsid w:val="00FD17F0"/>
    <w:rsid w:val="00FD1A83"/>
    <w:rsid w:val="00FD1BB1"/>
    <w:rsid w:val="00FD1BD8"/>
    <w:rsid w:val="00FD1E91"/>
    <w:rsid w:val="00FD2030"/>
    <w:rsid w:val="00FD23F2"/>
    <w:rsid w:val="00FD2403"/>
    <w:rsid w:val="00FD282B"/>
    <w:rsid w:val="00FD2925"/>
    <w:rsid w:val="00FD2963"/>
    <w:rsid w:val="00FD297A"/>
    <w:rsid w:val="00FD2A72"/>
    <w:rsid w:val="00FD2ADA"/>
    <w:rsid w:val="00FD2CCA"/>
    <w:rsid w:val="00FD2D8D"/>
    <w:rsid w:val="00FD320D"/>
    <w:rsid w:val="00FD334B"/>
    <w:rsid w:val="00FD3498"/>
    <w:rsid w:val="00FD3683"/>
    <w:rsid w:val="00FD37B4"/>
    <w:rsid w:val="00FD385D"/>
    <w:rsid w:val="00FD39EB"/>
    <w:rsid w:val="00FD3A9E"/>
    <w:rsid w:val="00FD3CEF"/>
    <w:rsid w:val="00FD3D8A"/>
    <w:rsid w:val="00FD3E19"/>
    <w:rsid w:val="00FD3FD5"/>
    <w:rsid w:val="00FD4039"/>
    <w:rsid w:val="00FD4106"/>
    <w:rsid w:val="00FD413D"/>
    <w:rsid w:val="00FD44E0"/>
    <w:rsid w:val="00FD4517"/>
    <w:rsid w:val="00FD46A0"/>
    <w:rsid w:val="00FD47BC"/>
    <w:rsid w:val="00FD4AF4"/>
    <w:rsid w:val="00FD4CF6"/>
    <w:rsid w:val="00FD4E15"/>
    <w:rsid w:val="00FD4FE7"/>
    <w:rsid w:val="00FD52AD"/>
    <w:rsid w:val="00FD56DE"/>
    <w:rsid w:val="00FD57D6"/>
    <w:rsid w:val="00FD5858"/>
    <w:rsid w:val="00FD5B37"/>
    <w:rsid w:val="00FD5C2C"/>
    <w:rsid w:val="00FD61BB"/>
    <w:rsid w:val="00FD64A1"/>
    <w:rsid w:val="00FD64AA"/>
    <w:rsid w:val="00FD652E"/>
    <w:rsid w:val="00FD6805"/>
    <w:rsid w:val="00FD68E4"/>
    <w:rsid w:val="00FD6F5A"/>
    <w:rsid w:val="00FD7271"/>
    <w:rsid w:val="00FD738C"/>
    <w:rsid w:val="00FD75BA"/>
    <w:rsid w:val="00FD779C"/>
    <w:rsid w:val="00FD7A34"/>
    <w:rsid w:val="00FD7CCA"/>
    <w:rsid w:val="00FD7D56"/>
    <w:rsid w:val="00FD7DEC"/>
    <w:rsid w:val="00FD7F08"/>
    <w:rsid w:val="00FE0082"/>
    <w:rsid w:val="00FE01BF"/>
    <w:rsid w:val="00FE0296"/>
    <w:rsid w:val="00FE0632"/>
    <w:rsid w:val="00FE08C5"/>
    <w:rsid w:val="00FE0BAB"/>
    <w:rsid w:val="00FE0C9B"/>
    <w:rsid w:val="00FE0DE3"/>
    <w:rsid w:val="00FE11E4"/>
    <w:rsid w:val="00FE1223"/>
    <w:rsid w:val="00FE12EC"/>
    <w:rsid w:val="00FE158F"/>
    <w:rsid w:val="00FE161F"/>
    <w:rsid w:val="00FE1623"/>
    <w:rsid w:val="00FE17DF"/>
    <w:rsid w:val="00FE1804"/>
    <w:rsid w:val="00FE183A"/>
    <w:rsid w:val="00FE1A43"/>
    <w:rsid w:val="00FE1DDC"/>
    <w:rsid w:val="00FE212B"/>
    <w:rsid w:val="00FE21F9"/>
    <w:rsid w:val="00FE226B"/>
    <w:rsid w:val="00FE235F"/>
    <w:rsid w:val="00FE2378"/>
    <w:rsid w:val="00FE240B"/>
    <w:rsid w:val="00FE278E"/>
    <w:rsid w:val="00FE2819"/>
    <w:rsid w:val="00FE2B80"/>
    <w:rsid w:val="00FE2BA1"/>
    <w:rsid w:val="00FE2CA3"/>
    <w:rsid w:val="00FE2E0D"/>
    <w:rsid w:val="00FE2EC2"/>
    <w:rsid w:val="00FE301A"/>
    <w:rsid w:val="00FE31CE"/>
    <w:rsid w:val="00FE356C"/>
    <w:rsid w:val="00FE3826"/>
    <w:rsid w:val="00FE3852"/>
    <w:rsid w:val="00FE385A"/>
    <w:rsid w:val="00FE3938"/>
    <w:rsid w:val="00FE3E15"/>
    <w:rsid w:val="00FE3E64"/>
    <w:rsid w:val="00FE3E8A"/>
    <w:rsid w:val="00FE41D1"/>
    <w:rsid w:val="00FE4390"/>
    <w:rsid w:val="00FE43F2"/>
    <w:rsid w:val="00FE4897"/>
    <w:rsid w:val="00FE4B15"/>
    <w:rsid w:val="00FE4C6A"/>
    <w:rsid w:val="00FE4CC4"/>
    <w:rsid w:val="00FE4CE3"/>
    <w:rsid w:val="00FE4D99"/>
    <w:rsid w:val="00FE4E8D"/>
    <w:rsid w:val="00FE5220"/>
    <w:rsid w:val="00FE5282"/>
    <w:rsid w:val="00FE56A2"/>
    <w:rsid w:val="00FE5950"/>
    <w:rsid w:val="00FE5A64"/>
    <w:rsid w:val="00FE5B44"/>
    <w:rsid w:val="00FE5DE5"/>
    <w:rsid w:val="00FE5F5D"/>
    <w:rsid w:val="00FE61B8"/>
    <w:rsid w:val="00FE62BE"/>
    <w:rsid w:val="00FE6516"/>
    <w:rsid w:val="00FE6613"/>
    <w:rsid w:val="00FE664C"/>
    <w:rsid w:val="00FE6765"/>
    <w:rsid w:val="00FE6777"/>
    <w:rsid w:val="00FE6812"/>
    <w:rsid w:val="00FE6B06"/>
    <w:rsid w:val="00FE6B22"/>
    <w:rsid w:val="00FE6B23"/>
    <w:rsid w:val="00FE6B44"/>
    <w:rsid w:val="00FE6E15"/>
    <w:rsid w:val="00FE7097"/>
    <w:rsid w:val="00FE70F1"/>
    <w:rsid w:val="00FE72B7"/>
    <w:rsid w:val="00FE7328"/>
    <w:rsid w:val="00FE7906"/>
    <w:rsid w:val="00FE7C47"/>
    <w:rsid w:val="00FE7DB4"/>
    <w:rsid w:val="00FE7ECF"/>
    <w:rsid w:val="00FE7F22"/>
    <w:rsid w:val="00FE7F7E"/>
    <w:rsid w:val="00FE7F9B"/>
    <w:rsid w:val="00FE7FD1"/>
    <w:rsid w:val="00FF001C"/>
    <w:rsid w:val="00FF00C0"/>
    <w:rsid w:val="00FF0478"/>
    <w:rsid w:val="00FF0743"/>
    <w:rsid w:val="00FF085A"/>
    <w:rsid w:val="00FF087F"/>
    <w:rsid w:val="00FF0999"/>
    <w:rsid w:val="00FF0B9F"/>
    <w:rsid w:val="00FF0CAB"/>
    <w:rsid w:val="00FF0D6B"/>
    <w:rsid w:val="00FF10B8"/>
    <w:rsid w:val="00FF11F8"/>
    <w:rsid w:val="00FF128D"/>
    <w:rsid w:val="00FF12BF"/>
    <w:rsid w:val="00FF12ED"/>
    <w:rsid w:val="00FF136B"/>
    <w:rsid w:val="00FF148F"/>
    <w:rsid w:val="00FF14F9"/>
    <w:rsid w:val="00FF15BF"/>
    <w:rsid w:val="00FF1695"/>
    <w:rsid w:val="00FF16E5"/>
    <w:rsid w:val="00FF1877"/>
    <w:rsid w:val="00FF187A"/>
    <w:rsid w:val="00FF1C6C"/>
    <w:rsid w:val="00FF1C89"/>
    <w:rsid w:val="00FF1D59"/>
    <w:rsid w:val="00FF1E73"/>
    <w:rsid w:val="00FF1E83"/>
    <w:rsid w:val="00FF2097"/>
    <w:rsid w:val="00FF2187"/>
    <w:rsid w:val="00FF2229"/>
    <w:rsid w:val="00FF23D0"/>
    <w:rsid w:val="00FF2787"/>
    <w:rsid w:val="00FF27EF"/>
    <w:rsid w:val="00FF27FD"/>
    <w:rsid w:val="00FF2AC4"/>
    <w:rsid w:val="00FF2B9F"/>
    <w:rsid w:val="00FF2DA1"/>
    <w:rsid w:val="00FF3069"/>
    <w:rsid w:val="00FF333F"/>
    <w:rsid w:val="00FF3350"/>
    <w:rsid w:val="00FF3598"/>
    <w:rsid w:val="00FF388E"/>
    <w:rsid w:val="00FF39EB"/>
    <w:rsid w:val="00FF3A98"/>
    <w:rsid w:val="00FF3B31"/>
    <w:rsid w:val="00FF3CF9"/>
    <w:rsid w:val="00FF3F7D"/>
    <w:rsid w:val="00FF421B"/>
    <w:rsid w:val="00FF4277"/>
    <w:rsid w:val="00FF4478"/>
    <w:rsid w:val="00FF462F"/>
    <w:rsid w:val="00FF4730"/>
    <w:rsid w:val="00FF4867"/>
    <w:rsid w:val="00FF4956"/>
    <w:rsid w:val="00FF49E9"/>
    <w:rsid w:val="00FF4CCD"/>
    <w:rsid w:val="00FF4CF7"/>
    <w:rsid w:val="00FF4F85"/>
    <w:rsid w:val="00FF5020"/>
    <w:rsid w:val="00FF53EC"/>
    <w:rsid w:val="00FF553C"/>
    <w:rsid w:val="00FF5583"/>
    <w:rsid w:val="00FF562C"/>
    <w:rsid w:val="00FF5771"/>
    <w:rsid w:val="00FF5916"/>
    <w:rsid w:val="00FF5B9D"/>
    <w:rsid w:val="00FF5E0B"/>
    <w:rsid w:val="00FF622C"/>
    <w:rsid w:val="00FF6335"/>
    <w:rsid w:val="00FF64FE"/>
    <w:rsid w:val="00FF6672"/>
    <w:rsid w:val="00FF683A"/>
    <w:rsid w:val="00FF6869"/>
    <w:rsid w:val="00FF6883"/>
    <w:rsid w:val="00FF6C27"/>
    <w:rsid w:val="00FF6C7C"/>
    <w:rsid w:val="00FF6CFD"/>
    <w:rsid w:val="00FF6E55"/>
    <w:rsid w:val="00FF6EB2"/>
    <w:rsid w:val="00FF7082"/>
    <w:rsid w:val="00FF714F"/>
    <w:rsid w:val="00FF7162"/>
    <w:rsid w:val="00FF73EF"/>
    <w:rsid w:val="00FF7423"/>
    <w:rsid w:val="00FF7492"/>
    <w:rsid w:val="00FF7584"/>
    <w:rsid w:val="00FF790D"/>
    <w:rsid w:val="00FF7915"/>
    <w:rsid w:val="00FF7995"/>
    <w:rsid w:val="00FF7B5C"/>
    <w:rsid w:val="00FF7C61"/>
    <w:rsid w:val="00FF7DAE"/>
    <w:rsid w:val="011049B3"/>
    <w:rsid w:val="01167CDF"/>
    <w:rsid w:val="014E37FE"/>
    <w:rsid w:val="0151DFD0"/>
    <w:rsid w:val="01E7861A"/>
    <w:rsid w:val="03144D3F"/>
    <w:rsid w:val="03CEABD4"/>
    <w:rsid w:val="03ECEE74"/>
    <w:rsid w:val="03F23E56"/>
    <w:rsid w:val="0420C83E"/>
    <w:rsid w:val="0474CFBF"/>
    <w:rsid w:val="0485EC1A"/>
    <w:rsid w:val="05804BBE"/>
    <w:rsid w:val="0587F2B6"/>
    <w:rsid w:val="05DD1D9E"/>
    <w:rsid w:val="0654169E"/>
    <w:rsid w:val="065E940E"/>
    <w:rsid w:val="06623392"/>
    <w:rsid w:val="071C0974"/>
    <w:rsid w:val="07934EE4"/>
    <w:rsid w:val="07ABD909"/>
    <w:rsid w:val="07F96771"/>
    <w:rsid w:val="080D62B1"/>
    <w:rsid w:val="086720AE"/>
    <w:rsid w:val="090E383E"/>
    <w:rsid w:val="093692D9"/>
    <w:rsid w:val="0967366E"/>
    <w:rsid w:val="097D0C73"/>
    <w:rsid w:val="099589FE"/>
    <w:rsid w:val="09B17B3B"/>
    <w:rsid w:val="09F9E5C6"/>
    <w:rsid w:val="0A7295CE"/>
    <w:rsid w:val="0AAC88F5"/>
    <w:rsid w:val="0ABBD61C"/>
    <w:rsid w:val="0AE5D5EE"/>
    <w:rsid w:val="0B2FEB0E"/>
    <w:rsid w:val="0BAEA5E7"/>
    <w:rsid w:val="0C1715E7"/>
    <w:rsid w:val="0F1D2999"/>
    <w:rsid w:val="0F50A8D2"/>
    <w:rsid w:val="10095BCB"/>
    <w:rsid w:val="11640A7B"/>
    <w:rsid w:val="11C5483D"/>
    <w:rsid w:val="12510512"/>
    <w:rsid w:val="12F9F038"/>
    <w:rsid w:val="132ABE3B"/>
    <w:rsid w:val="133DE11A"/>
    <w:rsid w:val="13433A86"/>
    <w:rsid w:val="13501CED"/>
    <w:rsid w:val="13F6240D"/>
    <w:rsid w:val="142C8215"/>
    <w:rsid w:val="14DFC716"/>
    <w:rsid w:val="15083E04"/>
    <w:rsid w:val="1547C5A6"/>
    <w:rsid w:val="159AE7B3"/>
    <w:rsid w:val="162799C6"/>
    <w:rsid w:val="162D421F"/>
    <w:rsid w:val="1642DDAC"/>
    <w:rsid w:val="16CB8239"/>
    <w:rsid w:val="172C79EF"/>
    <w:rsid w:val="186DD876"/>
    <w:rsid w:val="189A8008"/>
    <w:rsid w:val="18B45075"/>
    <w:rsid w:val="18B5B236"/>
    <w:rsid w:val="18C4F4CF"/>
    <w:rsid w:val="19290642"/>
    <w:rsid w:val="19534268"/>
    <w:rsid w:val="19D2932F"/>
    <w:rsid w:val="1A587303"/>
    <w:rsid w:val="1AE6823A"/>
    <w:rsid w:val="1B041C1A"/>
    <w:rsid w:val="1B3E9711"/>
    <w:rsid w:val="1B41C3B5"/>
    <w:rsid w:val="1C6D8A4E"/>
    <w:rsid w:val="1CDD941C"/>
    <w:rsid w:val="1D1F4E10"/>
    <w:rsid w:val="1D53F58F"/>
    <w:rsid w:val="1DB83AFE"/>
    <w:rsid w:val="1DC9EAE4"/>
    <w:rsid w:val="1DE4A108"/>
    <w:rsid w:val="1E129AA9"/>
    <w:rsid w:val="1EA9E1A8"/>
    <w:rsid w:val="1EEA85DA"/>
    <w:rsid w:val="1F57AB21"/>
    <w:rsid w:val="1F67F2A6"/>
    <w:rsid w:val="20230CEB"/>
    <w:rsid w:val="20D7D4A3"/>
    <w:rsid w:val="2114CFB0"/>
    <w:rsid w:val="2149D6C4"/>
    <w:rsid w:val="21F81C3C"/>
    <w:rsid w:val="222FD7AD"/>
    <w:rsid w:val="226894E0"/>
    <w:rsid w:val="22D7FE2C"/>
    <w:rsid w:val="22F93CDF"/>
    <w:rsid w:val="236CC907"/>
    <w:rsid w:val="2377B45F"/>
    <w:rsid w:val="237D925A"/>
    <w:rsid w:val="24088368"/>
    <w:rsid w:val="24B24DE8"/>
    <w:rsid w:val="24D3641A"/>
    <w:rsid w:val="259BAC36"/>
    <w:rsid w:val="26C052E9"/>
    <w:rsid w:val="26C239F5"/>
    <w:rsid w:val="27708C0C"/>
    <w:rsid w:val="27A9356D"/>
    <w:rsid w:val="27F5BD0A"/>
    <w:rsid w:val="28ED50EF"/>
    <w:rsid w:val="293858A0"/>
    <w:rsid w:val="295C3DD7"/>
    <w:rsid w:val="29AFFAFC"/>
    <w:rsid w:val="2A796909"/>
    <w:rsid w:val="2B822548"/>
    <w:rsid w:val="2CB2C701"/>
    <w:rsid w:val="2CF140EA"/>
    <w:rsid w:val="2D216F65"/>
    <w:rsid w:val="2D293819"/>
    <w:rsid w:val="2D48F8A8"/>
    <w:rsid w:val="2D495FA3"/>
    <w:rsid w:val="2D57E168"/>
    <w:rsid w:val="2D5F5637"/>
    <w:rsid w:val="2D9D1C14"/>
    <w:rsid w:val="2DA4AB81"/>
    <w:rsid w:val="2E96285A"/>
    <w:rsid w:val="2EA04801"/>
    <w:rsid w:val="2ED50BAD"/>
    <w:rsid w:val="2FE85AD8"/>
    <w:rsid w:val="3042DAB3"/>
    <w:rsid w:val="30F1EDD7"/>
    <w:rsid w:val="31FF93BA"/>
    <w:rsid w:val="32058442"/>
    <w:rsid w:val="320639CD"/>
    <w:rsid w:val="3212AB54"/>
    <w:rsid w:val="322D18F3"/>
    <w:rsid w:val="32383020"/>
    <w:rsid w:val="33659FA5"/>
    <w:rsid w:val="33684BCC"/>
    <w:rsid w:val="33792179"/>
    <w:rsid w:val="3398514F"/>
    <w:rsid w:val="34382C2A"/>
    <w:rsid w:val="34BEDE66"/>
    <w:rsid w:val="361C594C"/>
    <w:rsid w:val="367574A5"/>
    <w:rsid w:val="368BD389"/>
    <w:rsid w:val="36C04AB6"/>
    <w:rsid w:val="3713E580"/>
    <w:rsid w:val="3753D024"/>
    <w:rsid w:val="3762838C"/>
    <w:rsid w:val="37776920"/>
    <w:rsid w:val="377942AC"/>
    <w:rsid w:val="37C9450A"/>
    <w:rsid w:val="38175B52"/>
    <w:rsid w:val="385278C3"/>
    <w:rsid w:val="3867372F"/>
    <w:rsid w:val="387B640B"/>
    <w:rsid w:val="3887895B"/>
    <w:rsid w:val="39133DA1"/>
    <w:rsid w:val="39CA2DCE"/>
    <w:rsid w:val="3A2E387A"/>
    <w:rsid w:val="3AEDA629"/>
    <w:rsid w:val="3AF1FAD0"/>
    <w:rsid w:val="3B21C89C"/>
    <w:rsid w:val="3BB547CC"/>
    <w:rsid w:val="3BF5A1FF"/>
    <w:rsid w:val="3C3E7185"/>
    <w:rsid w:val="3CE0DA28"/>
    <w:rsid w:val="3E0CFEF2"/>
    <w:rsid w:val="3E9555E3"/>
    <w:rsid w:val="3EEACAD0"/>
    <w:rsid w:val="3F22E333"/>
    <w:rsid w:val="3F4B13AA"/>
    <w:rsid w:val="3FC8BF65"/>
    <w:rsid w:val="3FE4F92B"/>
    <w:rsid w:val="3FF3B29B"/>
    <w:rsid w:val="400D1EDC"/>
    <w:rsid w:val="40486C5E"/>
    <w:rsid w:val="40E0C941"/>
    <w:rsid w:val="411495E0"/>
    <w:rsid w:val="413FCEF4"/>
    <w:rsid w:val="415C4DB6"/>
    <w:rsid w:val="4199297C"/>
    <w:rsid w:val="41B2582D"/>
    <w:rsid w:val="41EF0CD5"/>
    <w:rsid w:val="4242409E"/>
    <w:rsid w:val="429103F5"/>
    <w:rsid w:val="42931292"/>
    <w:rsid w:val="43811409"/>
    <w:rsid w:val="4428D9BA"/>
    <w:rsid w:val="44CFBB99"/>
    <w:rsid w:val="44E99CAC"/>
    <w:rsid w:val="4555E022"/>
    <w:rsid w:val="45C76798"/>
    <w:rsid w:val="45E87EBC"/>
    <w:rsid w:val="460E6703"/>
    <w:rsid w:val="4652AC19"/>
    <w:rsid w:val="46E2238C"/>
    <w:rsid w:val="478E5C06"/>
    <w:rsid w:val="482915EF"/>
    <w:rsid w:val="4860C05D"/>
    <w:rsid w:val="4A41EA14"/>
    <w:rsid w:val="4AC355A6"/>
    <w:rsid w:val="4B8DDBB4"/>
    <w:rsid w:val="4C2B9B09"/>
    <w:rsid w:val="4C7C154C"/>
    <w:rsid w:val="4CA50685"/>
    <w:rsid w:val="4CFA7EDD"/>
    <w:rsid w:val="4D314EA5"/>
    <w:rsid w:val="4D4E2291"/>
    <w:rsid w:val="4D5BE003"/>
    <w:rsid w:val="4D8F676A"/>
    <w:rsid w:val="4DCACD38"/>
    <w:rsid w:val="4DFA364F"/>
    <w:rsid w:val="4E345A39"/>
    <w:rsid w:val="4ED09305"/>
    <w:rsid w:val="4F27D541"/>
    <w:rsid w:val="4F9B0A44"/>
    <w:rsid w:val="4FDC9F92"/>
    <w:rsid w:val="50FA7BF9"/>
    <w:rsid w:val="5100D6A7"/>
    <w:rsid w:val="51A6D5F7"/>
    <w:rsid w:val="522A058E"/>
    <w:rsid w:val="52C8CE28"/>
    <w:rsid w:val="53DADFAD"/>
    <w:rsid w:val="5402C3DD"/>
    <w:rsid w:val="5492C17F"/>
    <w:rsid w:val="54DD26C5"/>
    <w:rsid w:val="55039882"/>
    <w:rsid w:val="55FE7E80"/>
    <w:rsid w:val="561F9AB1"/>
    <w:rsid w:val="5716EAC3"/>
    <w:rsid w:val="57553A5D"/>
    <w:rsid w:val="58411330"/>
    <w:rsid w:val="58BBE37E"/>
    <w:rsid w:val="59327A79"/>
    <w:rsid w:val="596B9DF7"/>
    <w:rsid w:val="598666A3"/>
    <w:rsid w:val="59AFB33E"/>
    <w:rsid w:val="5A638F66"/>
    <w:rsid w:val="5A8EB85D"/>
    <w:rsid w:val="5BC9AA6F"/>
    <w:rsid w:val="5C6A9A43"/>
    <w:rsid w:val="5CE06398"/>
    <w:rsid w:val="5D0B0336"/>
    <w:rsid w:val="5D46251A"/>
    <w:rsid w:val="5D88671D"/>
    <w:rsid w:val="5E4D829B"/>
    <w:rsid w:val="5ECECF06"/>
    <w:rsid w:val="5ED6E0D2"/>
    <w:rsid w:val="5EF08FBB"/>
    <w:rsid w:val="5F1BC725"/>
    <w:rsid w:val="5F94DA7F"/>
    <w:rsid w:val="5FA3943C"/>
    <w:rsid w:val="605861C4"/>
    <w:rsid w:val="605A5AC6"/>
    <w:rsid w:val="606351DF"/>
    <w:rsid w:val="60E54AAC"/>
    <w:rsid w:val="610A7FE9"/>
    <w:rsid w:val="6150ECE9"/>
    <w:rsid w:val="61DB3B3B"/>
    <w:rsid w:val="62A8EDE2"/>
    <w:rsid w:val="63425A7F"/>
    <w:rsid w:val="63E814BB"/>
    <w:rsid w:val="64733BEF"/>
    <w:rsid w:val="6640EFB4"/>
    <w:rsid w:val="66DF7EC5"/>
    <w:rsid w:val="679BF3B9"/>
    <w:rsid w:val="679D8913"/>
    <w:rsid w:val="692260AE"/>
    <w:rsid w:val="692514C8"/>
    <w:rsid w:val="6956D4D2"/>
    <w:rsid w:val="699745EF"/>
    <w:rsid w:val="69BE0E50"/>
    <w:rsid w:val="69C3C594"/>
    <w:rsid w:val="69CE55AA"/>
    <w:rsid w:val="69ED6040"/>
    <w:rsid w:val="69F37577"/>
    <w:rsid w:val="6A38B023"/>
    <w:rsid w:val="6A561AB5"/>
    <w:rsid w:val="6A91E140"/>
    <w:rsid w:val="6AA51069"/>
    <w:rsid w:val="6C26F3A4"/>
    <w:rsid w:val="6C4E2FAA"/>
    <w:rsid w:val="6C6A7C0E"/>
    <w:rsid w:val="6CBE6B88"/>
    <w:rsid w:val="6E37AE88"/>
    <w:rsid w:val="6E86CEEF"/>
    <w:rsid w:val="6F37D914"/>
    <w:rsid w:val="6F77ED92"/>
    <w:rsid w:val="6F9222EF"/>
    <w:rsid w:val="6FAD2B70"/>
    <w:rsid w:val="705500FF"/>
    <w:rsid w:val="707CF9E5"/>
    <w:rsid w:val="70E97903"/>
    <w:rsid w:val="7205BFAE"/>
    <w:rsid w:val="720FFB0D"/>
    <w:rsid w:val="72315148"/>
    <w:rsid w:val="72401877"/>
    <w:rsid w:val="729A87BF"/>
    <w:rsid w:val="72C2A8C2"/>
    <w:rsid w:val="73780A70"/>
    <w:rsid w:val="74374B70"/>
    <w:rsid w:val="74B127C7"/>
    <w:rsid w:val="74B33D76"/>
    <w:rsid w:val="761F3F35"/>
    <w:rsid w:val="76252A09"/>
    <w:rsid w:val="76562C39"/>
    <w:rsid w:val="76699E1A"/>
    <w:rsid w:val="766FEDAC"/>
    <w:rsid w:val="768E9622"/>
    <w:rsid w:val="76D10797"/>
    <w:rsid w:val="76E6DBAA"/>
    <w:rsid w:val="76F48875"/>
    <w:rsid w:val="77594D32"/>
    <w:rsid w:val="77D5723F"/>
    <w:rsid w:val="7826762F"/>
    <w:rsid w:val="7846499E"/>
    <w:rsid w:val="787FB7AD"/>
    <w:rsid w:val="7947C289"/>
    <w:rsid w:val="7A08E0DF"/>
    <w:rsid w:val="7A646E4F"/>
    <w:rsid w:val="7B187C05"/>
    <w:rsid w:val="7B4AFEBE"/>
    <w:rsid w:val="7CB6D424"/>
    <w:rsid w:val="7CE7E924"/>
    <w:rsid w:val="7D00BB52"/>
    <w:rsid w:val="7D6CF53B"/>
    <w:rsid w:val="7F9C6FB0"/>
    <w:rsid w:val="7FBE66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7E8D5"/>
  <w15:docId w15:val="{3D199516-84EE-448E-9AB7-5FCDDCA8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60B"/>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40"/>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023B06"/>
    <w:pPr>
      <w:keepNext/>
      <w:spacing w:before="0" w:after="360"/>
    </w:pPr>
    <w:rPr>
      <w:color w:val="455875" w:themeColor="accent3" w:themeShade="BF"/>
      <w:sz w:val="32"/>
    </w:rPr>
  </w:style>
  <w:style w:type="paragraph" w:customStyle="1" w:styleId="Dash">
    <w:name w:val="Dash"/>
    <w:basedOn w:val="Normal"/>
    <w:link w:val="DashChar"/>
    <w:qFormat/>
    <w:rsid w:val="000E0B74"/>
    <w:pPr>
      <w:numPr>
        <w:ilvl w:val="1"/>
        <w:numId w:val="33"/>
      </w:numPr>
      <w:spacing w:before="0"/>
    </w:pPr>
  </w:style>
  <w:style w:type="paragraph" w:customStyle="1" w:styleId="DoubleDot">
    <w:name w:val="Double Dot"/>
    <w:basedOn w:val="Normal"/>
    <w:link w:val="DoubleDotChar"/>
    <w:qFormat/>
    <w:rsid w:val="000E0B74"/>
    <w:pPr>
      <w:numPr>
        <w:ilvl w:val="2"/>
        <w:numId w:val="33"/>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023B06"/>
    <w:pPr>
      <w:spacing w:before="0" w:after="30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23B06"/>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23B06"/>
    <w:rPr>
      <w:rFonts w:ascii="Calibri Light" w:eastAsia="Times New Roman" w:hAnsi="Calibri Light" w:cs="Times New Roman"/>
      <w:color w:val="455875" w:themeColor="accent3" w:themeShade="BF"/>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Dot point list,List Paragraph1,NFP GP Bulleted List,List Paragraph11,List Paragraph2,FooterText,numbered,Paragraphe de liste1,Bulletr List Paragraph,列出段落,列出段落1,List Paragraph21,Listeafsnit1,Parágrafo da Lista1,L,列,bullet point list,Dot pt"/>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paragraph" w:customStyle="1" w:styleId="paragraph">
    <w:name w:val="paragraph"/>
    <w:basedOn w:val="Normal"/>
    <w:link w:val="paragraphChar"/>
    <w:rsid w:val="00BA60D9"/>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A60D9"/>
  </w:style>
  <w:style w:type="character" w:customStyle="1" w:styleId="eop">
    <w:name w:val="eop"/>
    <w:basedOn w:val="DefaultParagraphFont"/>
    <w:rsid w:val="00BA60D9"/>
  </w:style>
  <w:style w:type="paragraph" w:styleId="CommentSubject">
    <w:name w:val="annotation subject"/>
    <w:basedOn w:val="CommentText"/>
    <w:next w:val="CommentText"/>
    <w:link w:val="CommentSubjectChar"/>
    <w:uiPriority w:val="99"/>
    <w:semiHidden/>
    <w:unhideWhenUsed/>
    <w:rsid w:val="00BA60D9"/>
    <w:pPr>
      <w:spacing w:before="0" w:after="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60D9"/>
    <w:rPr>
      <w:rFonts w:ascii="Calibri" w:eastAsia="Times New Roman" w:hAnsi="Calibri" w:cs="Times New Roman"/>
      <w:b/>
      <w:bCs/>
      <w:sz w:val="20"/>
      <w:szCs w:val="20"/>
      <w:lang w:eastAsia="en-AU"/>
    </w:rPr>
  </w:style>
  <w:style w:type="paragraph" w:customStyle="1" w:styleId="xmsonormal">
    <w:name w:val="x_msonormal"/>
    <w:basedOn w:val="Normal"/>
    <w:rsid w:val="00BA60D9"/>
    <w:pPr>
      <w:spacing w:before="0" w:after="0"/>
    </w:pPr>
    <w:rPr>
      <w:rFonts w:ascii="Calibri" w:eastAsiaTheme="minorHAnsi" w:hAnsi="Calibri" w:cs="Calibri"/>
      <w:szCs w:val="22"/>
    </w:rPr>
  </w:style>
  <w:style w:type="paragraph" w:customStyle="1" w:styleId="xmsolistparagraph">
    <w:name w:val="x_msolistparagraph"/>
    <w:basedOn w:val="Normal"/>
    <w:rsid w:val="00BA60D9"/>
    <w:pPr>
      <w:spacing w:before="0" w:after="0"/>
      <w:ind w:left="720"/>
    </w:pPr>
    <w:rPr>
      <w:rFonts w:ascii="Calibri" w:eastAsiaTheme="minorHAnsi" w:hAnsi="Calibri" w:cs="Calibri"/>
      <w:szCs w:val="22"/>
    </w:rPr>
  </w:style>
  <w:style w:type="paragraph" w:styleId="Revision">
    <w:name w:val="Revision"/>
    <w:hidden/>
    <w:uiPriority w:val="99"/>
    <w:semiHidden/>
    <w:rsid w:val="00BA60D9"/>
    <w:pPr>
      <w:spacing w:after="0" w:line="240" w:lineRule="auto"/>
    </w:pPr>
  </w:style>
  <w:style w:type="character" w:styleId="UnresolvedMention">
    <w:name w:val="Unresolved Mention"/>
    <w:basedOn w:val="DefaultParagraphFont"/>
    <w:uiPriority w:val="99"/>
    <w:unhideWhenUsed/>
    <w:rsid w:val="00BA60D9"/>
    <w:rPr>
      <w:color w:val="605E5C"/>
      <w:shd w:val="clear" w:color="auto" w:fill="E1DFDD"/>
    </w:rPr>
  </w:style>
  <w:style w:type="numbering" w:customStyle="1" w:styleId="NoList1">
    <w:name w:val="No List1"/>
    <w:next w:val="NoList"/>
    <w:uiPriority w:val="99"/>
    <w:semiHidden/>
    <w:unhideWhenUsed/>
    <w:rsid w:val="00BA60D9"/>
  </w:style>
  <w:style w:type="numbering" w:customStyle="1" w:styleId="OutlineList1">
    <w:name w:val="OutlineList1"/>
    <w:uiPriority w:val="99"/>
    <w:rsid w:val="00BA60D9"/>
  </w:style>
  <w:style w:type="numbering" w:customStyle="1" w:styleId="BulletedList1">
    <w:name w:val="Bulleted List1"/>
    <w:uiPriority w:val="99"/>
    <w:rsid w:val="00BA60D9"/>
  </w:style>
  <w:style w:type="numbering" w:customStyle="1" w:styleId="BoxBulletedList1">
    <w:name w:val="Box Bulleted List1"/>
    <w:uiPriority w:val="99"/>
    <w:rsid w:val="00BA60D9"/>
  </w:style>
  <w:style w:type="numbering" w:customStyle="1" w:styleId="OneLevelList1">
    <w:name w:val="OneLevelList1"/>
    <w:uiPriority w:val="99"/>
    <w:rsid w:val="00BA60D9"/>
  </w:style>
  <w:style w:type="numbering" w:customStyle="1" w:styleId="ChartandTableFootnoteAlphaList1">
    <w:name w:val="ChartandTableFootnoteAlphaList1"/>
    <w:uiPriority w:val="99"/>
    <w:rsid w:val="00BA60D9"/>
  </w:style>
  <w:style w:type="numbering" w:customStyle="1" w:styleId="NoList2">
    <w:name w:val="No List2"/>
    <w:next w:val="NoList"/>
    <w:uiPriority w:val="99"/>
    <w:semiHidden/>
    <w:unhideWhenUsed/>
    <w:rsid w:val="00BA60D9"/>
  </w:style>
  <w:style w:type="numbering" w:customStyle="1" w:styleId="OutlineList2">
    <w:name w:val="OutlineList2"/>
    <w:uiPriority w:val="99"/>
    <w:rsid w:val="00BA60D9"/>
  </w:style>
  <w:style w:type="numbering" w:customStyle="1" w:styleId="BulletedList2">
    <w:name w:val="Bulleted List2"/>
    <w:uiPriority w:val="99"/>
    <w:rsid w:val="00BA60D9"/>
  </w:style>
  <w:style w:type="numbering" w:customStyle="1" w:styleId="BoxBulletedList2">
    <w:name w:val="Box Bulleted List2"/>
    <w:uiPriority w:val="99"/>
    <w:rsid w:val="00BA60D9"/>
  </w:style>
  <w:style w:type="numbering" w:customStyle="1" w:styleId="OneLevelList2">
    <w:name w:val="OneLevelList2"/>
    <w:uiPriority w:val="99"/>
    <w:rsid w:val="00BA60D9"/>
  </w:style>
  <w:style w:type="numbering" w:customStyle="1" w:styleId="ChartandTableFootnoteAlphaList2">
    <w:name w:val="ChartandTableFootnoteAlphaList2"/>
    <w:uiPriority w:val="99"/>
    <w:rsid w:val="00BA60D9"/>
  </w:style>
  <w:style w:type="character" w:styleId="Mention">
    <w:name w:val="Mention"/>
    <w:basedOn w:val="DefaultParagraphFont"/>
    <w:uiPriority w:val="99"/>
    <w:unhideWhenUsed/>
    <w:rsid w:val="00BA60D9"/>
    <w:rPr>
      <w:color w:val="2B579A"/>
      <w:shd w:val="clear" w:color="auto" w:fill="E1DFDD"/>
    </w:rPr>
  </w:style>
  <w:style w:type="character" w:styleId="FollowedHyperlink">
    <w:name w:val="FollowedHyperlink"/>
    <w:basedOn w:val="DefaultParagraphFont"/>
    <w:uiPriority w:val="99"/>
    <w:semiHidden/>
    <w:unhideWhenUsed/>
    <w:rsid w:val="00BA60D9"/>
    <w:rPr>
      <w:color w:val="844D9E" w:themeColor="followedHyperlink"/>
      <w:u w:val="single"/>
    </w:rPr>
  </w:style>
  <w:style w:type="character" w:customStyle="1" w:styleId="ListParagraphChar">
    <w:name w:val="List Paragraph Char"/>
    <w:aliases w:val="Dot point list Char,List Paragraph1 Char,NFP GP Bulleted List Char,List Paragraph11 Char,List Paragraph2 Char,FooterText Char,numbered Char,Paragraphe de liste1 Char,Bulletr List Paragraph Char,列出段落 Char,列出段落1 Char,Listeafsnit1 Char"/>
    <w:basedOn w:val="DefaultParagraphFont"/>
    <w:link w:val="ListParagraph"/>
    <w:uiPriority w:val="34"/>
    <w:locked/>
    <w:rsid w:val="00457641"/>
    <w:rPr>
      <w:rFonts w:ascii="Calibri Light" w:eastAsia="Times New Roman" w:hAnsi="Calibri Light" w:cs="Times New Roman"/>
      <w:szCs w:val="20"/>
      <w:lang w:eastAsia="en-AU"/>
    </w:rPr>
  </w:style>
  <w:style w:type="table" w:styleId="TableGridLight">
    <w:name w:val="Grid Table Light"/>
    <w:basedOn w:val="TableNormal"/>
    <w:uiPriority w:val="40"/>
    <w:rsid w:val="00B96C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3125E1"/>
    <w:pPr>
      <w:widowControl w:val="0"/>
      <w:autoSpaceDE w:val="0"/>
      <w:autoSpaceDN w:val="0"/>
      <w:spacing w:before="0" w:after="0"/>
    </w:pPr>
    <w:rPr>
      <w:rFonts w:ascii="Calibri" w:eastAsia="Calibri" w:hAnsi="Calibri" w:cs="Calibri"/>
      <w:szCs w:val="22"/>
      <w:lang w:val="en-US" w:eastAsia="en-US"/>
    </w:rPr>
  </w:style>
  <w:style w:type="character" w:customStyle="1" w:styleId="BodyTextChar">
    <w:name w:val="Body Text Char"/>
    <w:basedOn w:val="DefaultParagraphFont"/>
    <w:link w:val="BodyText"/>
    <w:uiPriority w:val="1"/>
    <w:rsid w:val="003125E1"/>
    <w:rPr>
      <w:rFonts w:ascii="Calibri" w:eastAsia="Calibri" w:hAnsi="Calibri" w:cs="Calibri"/>
      <w:lang w:val="en-US"/>
    </w:rPr>
  </w:style>
  <w:style w:type="character" w:customStyle="1" w:styleId="paragraphChar">
    <w:name w:val="paragraph Char"/>
    <w:basedOn w:val="DefaultParagraphFont"/>
    <w:link w:val="paragraph"/>
    <w:locked/>
    <w:rsid w:val="00B76051"/>
    <w:rPr>
      <w:rFonts w:ascii="Times New Roman" w:eastAsia="Times New Roman" w:hAnsi="Times New Roman" w:cs="Times New Roman"/>
      <w:sz w:val="24"/>
      <w:szCs w:val="24"/>
      <w:lang w:eastAsia="en-AU"/>
    </w:rPr>
  </w:style>
  <w:style w:type="character" w:styleId="Strong">
    <w:name w:val="Strong"/>
    <w:basedOn w:val="DefaultParagraphFont"/>
    <w:qFormat/>
    <w:rsid w:val="00004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0178">
      <w:bodyDiv w:val="1"/>
      <w:marLeft w:val="0"/>
      <w:marRight w:val="0"/>
      <w:marTop w:val="0"/>
      <w:marBottom w:val="0"/>
      <w:divBdr>
        <w:top w:val="none" w:sz="0" w:space="0" w:color="auto"/>
        <w:left w:val="none" w:sz="0" w:space="0" w:color="auto"/>
        <w:bottom w:val="none" w:sz="0" w:space="0" w:color="auto"/>
        <w:right w:val="none" w:sz="0" w:space="0" w:color="auto"/>
      </w:divBdr>
    </w:div>
    <w:div w:id="190579036">
      <w:bodyDiv w:val="1"/>
      <w:marLeft w:val="0"/>
      <w:marRight w:val="0"/>
      <w:marTop w:val="0"/>
      <w:marBottom w:val="0"/>
      <w:divBdr>
        <w:top w:val="none" w:sz="0" w:space="0" w:color="auto"/>
        <w:left w:val="none" w:sz="0" w:space="0" w:color="auto"/>
        <w:bottom w:val="none" w:sz="0" w:space="0" w:color="auto"/>
        <w:right w:val="none" w:sz="0" w:space="0" w:color="auto"/>
      </w:divBdr>
    </w:div>
    <w:div w:id="31877749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80351104">
      <w:bodyDiv w:val="1"/>
      <w:marLeft w:val="0"/>
      <w:marRight w:val="0"/>
      <w:marTop w:val="0"/>
      <w:marBottom w:val="0"/>
      <w:divBdr>
        <w:top w:val="none" w:sz="0" w:space="0" w:color="auto"/>
        <w:left w:val="none" w:sz="0" w:space="0" w:color="auto"/>
        <w:bottom w:val="none" w:sz="0" w:space="0" w:color="auto"/>
        <w:right w:val="none" w:sz="0" w:space="0" w:color="auto"/>
      </w:divBdr>
      <w:divsChild>
        <w:div w:id="110251818">
          <w:marLeft w:val="0"/>
          <w:marRight w:val="0"/>
          <w:marTop w:val="0"/>
          <w:marBottom w:val="0"/>
          <w:divBdr>
            <w:top w:val="none" w:sz="0" w:space="0" w:color="auto"/>
            <w:left w:val="none" w:sz="0" w:space="0" w:color="auto"/>
            <w:bottom w:val="none" w:sz="0" w:space="0" w:color="auto"/>
            <w:right w:val="none" w:sz="0" w:space="0" w:color="auto"/>
          </w:divBdr>
        </w:div>
        <w:div w:id="630406953">
          <w:marLeft w:val="0"/>
          <w:marRight w:val="0"/>
          <w:marTop w:val="0"/>
          <w:marBottom w:val="0"/>
          <w:divBdr>
            <w:top w:val="none" w:sz="0" w:space="0" w:color="auto"/>
            <w:left w:val="none" w:sz="0" w:space="0" w:color="auto"/>
            <w:bottom w:val="none" w:sz="0" w:space="0" w:color="auto"/>
            <w:right w:val="none" w:sz="0" w:space="0" w:color="auto"/>
          </w:divBdr>
        </w:div>
      </w:divsChild>
    </w:div>
    <w:div w:id="7163162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32219928">
      <w:bodyDiv w:val="1"/>
      <w:marLeft w:val="0"/>
      <w:marRight w:val="0"/>
      <w:marTop w:val="0"/>
      <w:marBottom w:val="0"/>
      <w:divBdr>
        <w:top w:val="none" w:sz="0" w:space="0" w:color="auto"/>
        <w:left w:val="none" w:sz="0" w:space="0" w:color="auto"/>
        <w:bottom w:val="none" w:sz="0" w:space="0" w:color="auto"/>
        <w:right w:val="none" w:sz="0" w:space="0" w:color="auto"/>
      </w:divBdr>
    </w:div>
    <w:div w:id="1259680597">
      <w:bodyDiv w:val="1"/>
      <w:marLeft w:val="0"/>
      <w:marRight w:val="0"/>
      <w:marTop w:val="0"/>
      <w:marBottom w:val="0"/>
      <w:divBdr>
        <w:top w:val="none" w:sz="0" w:space="0" w:color="auto"/>
        <w:left w:val="none" w:sz="0" w:space="0" w:color="auto"/>
        <w:bottom w:val="none" w:sz="0" w:space="0" w:color="auto"/>
        <w:right w:val="none" w:sz="0" w:space="0" w:color="auto"/>
      </w:divBdr>
    </w:div>
    <w:div w:id="1959992047">
      <w:bodyDiv w:val="1"/>
      <w:marLeft w:val="0"/>
      <w:marRight w:val="0"/>
      <w:marTop w:val="0"/>
      <w:marBottom w:val="0"/>
      <w:divBdr>
        <w:top w:val="none" w:sz="0" w:space="0" w:color="auto"/>
        <w:left w:val="none" w:sz="0" w:space="0" w:color="auto"/>
        <w:bottom w:val="none" w:sz="0" w:space="0" w:color="auto"/>
        <w:right w:val="none" w:sz="0" w:space="0" w:color="auto"/>
      </w:divBdr>
      <w:divsChild>
        <w:div w:id="32197577">
          <w:marLeft w:val="0"/>
          <w:marRight w:val="0"/>
          <w:marTop w:val="0"/>
          <w:marBottom w:val="0"/>
          <w:divBdr>
            <w:top w:val="none" w:sz="0" w:space="0" w:color="auto"/>
            <w:left w:val="none" w:sz="0" w:space="0" w:color="auto"/>
            <w:bottom w:val="none" w:sz="0" w:space="0" w:color="auto"/>
            <w:right w:val="none" w:sz="0" w:space="0" w:color="auto"/>
          </w:divBdr>
        </w:div>
        <w:div w:id="51316705">
          <w:marLeft w:val="0"/>
          <w:marRight w:val="0"/>
          <w:marTop w:val="0"/>
          <w:marBottom w:val="0"/>
          <w:divBdr>
            <w:top w:val="none" w:sz="0" w:space="0" w:color="auto"/>
            <w:left w:val="none" w:sz="0" w:space="0" w:color="auto"/>
            <w:bottom w:val="none" w:sz="0" w:space="0" w:color="auto"/>
            <w:right w:val="none" w:sz="0" w:space="0" w:color="auto"/>
          </w:divBdr>
        </w:div>
        <w:div w:id="125205657">
          <w:marLeft w:val="0"/>
          <w:marRight w:val="0"/>
          <w:marTop w:val="0"/>
          <w:marBottom w:val="0"/>
          <w:divBdr>
            <w:top w:val="none" w:sz="0" w:space="0" w:color="auto"/>
            <w:left w:val="none" w:sz="0" w:space="0" w:color="auto"/>
            <w:bottom w:val="none" w:sz="0" w:space="0" w:color="auto"/>
            <w:right w:val="none" w:sz="0" w:space="0" w:color="auto"/>
          </w:divBdr>
        </w:div>
        <w:div w:id="163280428">
          <w:marLeft w:val="0"/>
          <w:marRight w:val="0"/>
          <w:marTop w:val="0"/>
          <w:marBottom w:val="0"/>
          <w:divBdr>
            <w:top w:val="none" w:sz="0" w:space="0" w:color="auto"/>
            <w:left w:val="none" w:sz="0" w:space="0" w:color="auto"/>
            <w:bottom w:val="none" w:sz="0" w:space="0" w:color="auto"/>
            <w:right w:val="none" w:sz="0" w:space="0" w:color="auto"/>
          </w:divBdr>
        </w:div>
        <w:div w:id="200940068">
          <w:marLeft w:val="0"/>
          <w:marRight w:val="0"/>
          <w:marTop w:val="0"/>
          <w:marBottom w:val="0"/>
          <w:divBdr>
            <w:top w:val="none" w:sz="0" w:space="0" w:color="auto"/>
            <w:left w:val="none" w:sz="0" w:space="0" w:color="auto"/>
            <w:bottom w:val="none" w:sz="0" w:space="0" w:color="auto"/>
            <w:right w:val="none" w:sz="0" w:space="0" w:color="auto"/>
          </w:divBdr>
        </w:div>
        <w:div w:id="206458061">
          <w:marLeft w:val="0"/>
          <w:marRight w:val="0"/>
          <w:marTop w:val="0"/>
          <w:marBottom w:val="0"/>
          <w:divBdr>
            <w:top w:val="none" w:sz="0" w:space="0" w:color="auto"/>
            <w:left w:val="none" w:sz="0" w:space="0" w:color="auto"/>
            <w:bottom w:val="none" w:sz="0" w:space="0" w:color="auto"/>
            <w:right w:val="none" w:sz="0" w:space="0" w:color="auto"/>
          </w:divBdr>
        </w:div>
        <w:div w:id="210923622">
          <w:marLeft w:val="0"/>
          <w:marRight w:val="0"/>
          <w:marTop w:val="0"/>
          <w:marBottom w:val="0"/>
          <w:divBdr>
            <w:top w:val="none" w:sz="0" w:space="0" w:color="auto"/>
            <w:left w:val="none" w:sz="0" w:space="0" w:color="auto"/>
            <w:bottom w:val="none" w:sz="0" w:space="0" w:color="auto"/>
            <w:right w:val="none" w:sz="0" w:space="0" w:color="auto"/>
          </w:divBdr>
        </w:div>
        <w:div w:id="276759362">
          <w:marLeft w:val="0"/>
          <w:marRight w:val="0"/>
          <w:marTop w:val="0"/>
          <w:marBottom w:val="0"/>
          <w:divBdr>
            <w:top w:val="none" w:sz="0" w:space="0" w:color="auto"/>
            <w:left w:val="none" w:sz="0" w:space="0" w:color="auto"/>
            <w:bottom w:val="none" w:sz="0" w:space="0" w:color="auto"/>
            <w:right w:val="none" w:sz="0" w:space="0" w:color="auto"/>
          </w:divBdr>
        </w:div>
        <w:div w:id="336155332">
          <w:marLeft w:val="0"/>
          <w:marRight w:val="0"/>
          <w:marTop w:val="0"/>
          <w:marBottom w:val="0"/>
          <w:divBdr>
            <w:top w:val="none" w:sz="0" w:space="0" w:color="auto"/>
            <w:left w:val="none" w:sz="0" w:space="0" w:color="auto"/>
            <w:bottom w:val="none" w:sz="0" w:space="0" w:color="auto"/>
            <w:right w:val="none" w:sz="0" w:space="0" w:color="auto"/>
          </w:divBdr>
        </w:div>
        <w:div w:id="342587602">
          <w:marLeft w:val="0"/>
          <w:marRight w:val="0"/>
          <w:marTop w:val="0"/>
          <w:marBottom w:val="0"/>
          <w:divBdr>
            <w:top w:val="none" w:sz="0" w:space="0" w:color="auto"/>
            <w:left w:val="none" w:sz="0" w:space="0" w:color="auto"/>
            <w:bottom w:val="none" w:sz="0" w:space="0" w:color="auto"/>
            <w:right w:val="none" w:sz="0" w:space="0" w:color="auto"/>
          </w:divBdr>
        </w:div>
        <w:div w:id="358514004">
          <w:marLeft w:val="0"/>
          <w:marRight w:val="0"/>
          <w:marTop w:val="0"/>
          <w:marBottom w:val="0"/>
          <w:divBdr>
            <w:top w:val="none" w:sz="0" w:space="0" w:color="auto"/>
            <w:left w:val="none" w:sz="0" w:space="0" w:color="auto"/>
            <w:bottom w:val="none" w:sz="0" w:space="0" w:color="auto"/>
            <w:right w:val="none" w:sz="0" w:space="0" w:color="auto"/>
          </w:divBdr>
        </w:div>
        <w:div w:id="380443187">
          <w:marLeft w:val="0"/>
          <w:marRight w:val="0"/>
          <w:marTop w:val="0"/>
          <w:marBottom w:val="0"/>
          <w:divBdr>
            <w:top w:val="none" w:sz="0" w:space="0" w:color="auto"/>
            <w:left w:val="none" w:sz="0" w:space="0" w:color="auto"/>
            <w:bottom w:val="none" w:sz="0" w:space="0" w:color="auto"/>
            <w:right w:val="none" w:sz="0" w:space="0" w:color="auto"/>
          </w:divBdr>
        </w:div>
        <w:div w:id="442841526">
          <w:marLeft w:val="0"/>
          <w:marRight w:val="0"/>
          <w:marTop w:val="0"/>
          <w:marBottom w:val="0"/>
          <w:divBdr>
            <w:top w:val="none" w:sz="0" w:space="0" w:color="auto"/>
            <w:left w:val="none" w:sz="0" w:space="0" w:color="auto"/>
            <w:bottom w:val="none" w:sz="0" w:space="0" w:color="auto"/>
            <w:right w:val="none" w:sz="0" w:space="0" w:color="auto"/>
          </w:divBdr>
        </w:div>
        <w:div w:id="489756850">
          <w:marLeft w:val="0"/>
          <w:marRight w:val="0"/>
          <w:marTop w:val="0"/>
          <w:marBottom w:val="0"/>
          <w:divBdr>
            <w:top w:val="none" w:sz="0" w:space="0" w:color="auto"/>
            <w:left w:val="none" w:sz="0" w:space="0" w:color="auto"/>
            <w:bottom w:val="none" w:sz="0" w:space="0" w:color="auto"/>
            <w:right w:val="none" w:sz="0" w:space="0" w:color="auto"/>
          </w:divBdr>
        </w:div>
        <w:div w:id="504175724">
          <w:marLeft w:val="0"/>
          <w:marRight w:val="0"/>
          <w:marTop w:val="0"/>
          <w:marBottom w:val="0"/>
          <w:divBdr>
            <w:top w:val="none" w:sz="0" w:space="0" w:color="auto"/>
            <w:left w:val="none" w:sz="0" w:space="0" w:color="auto"/>
            <w:bottom w:val="none" w:sz="0" w:space="0" w:color="auto"/>
            <w:right w:val="none" w:sz="0" w:space="0" w:color="auto"/>
          </w:divBdr>
        </w:div>
        <w:div w:id="545918429">
          <w:marLeft w:val="0"/>
          <w:marRight w:val="0"/>
          <w:marTop w:val="0"/>
          <w:marBottom w:val="0"/>
          <w:divBdr>
            <w:top w:val="none" w:sz="0" w:space="0" w:color="auto"/>
            <w:left w:val="none" w:sz="0" w:space="0" w:color="auto"/>
            <w:bottom w:val="none" w:sz="0" w:space="0" w:color="auto"/>
            <w:right w:val="none" w:sz="0" w:space="0" w:color="auto"/>
          </w:divBdr>
        </w:div>
        <w:div w:id="555315134">
          <w:marLeft w:val="0"/>
          <w:marRight w:val="0"/>
          <w:marTop w:val="0"/>
          <w:marBottom w:val="0"/>
          <w:divBdr>
            <w:top w:val="none" w:sz="0" w:space="0" w:color="auto"/>
            <w:left w:val="none" w:sz="0" w:space="0" w:color="auto"/>
            <w:bottom w:val="none" w:sz="0" w:space="0" w:color="auto"/>
            <w:right w:val="none" w:sz="0" w:space="0" w:color="auto"/>
          </w:divBdr>
        </w:div>
        <w:div w:id="603342087">
          <w:marLeft w:val="0"/>
          <w:marRight w:val="0"/>
          <w:marTop w:val="0"/>
          <w:marBottom w:val="0"/>
          <w:divBdr>
            <w:top w:val="none" w:sz="0" w:space="0" w:color="auto"/>
            <w:left w:val="none" w:sz="0" w:space="0" w:color="auto"/>
            <w:bottom w:val="none" w:sz="0" w:space="0" w:color="auto"/>
            <w:right w:val="none" w:sz="0" w:space="0" w:color="auto"/>
          </w:divBdr>
        </w:div>
        <w:div w:id="617680333">
          <w:marLeft w:val="0"/>
          <w:marRight w:val="0"/>
          <w:marTop w:val="0"/>
          <w:marBottom w:val="0"/>
          <w:divBdr>
            <w:top w:val="none" w:sz="0" w:space="0" w:color="auto"/>
            <w:left w:val="none" w:sz="0" w:space="0" w:color="auto"/>
            <w:bottom w:val="none" w:sz="0" w:space="0" w:color="auto"/>
            <w:right w:val="none" w:sz="0" w:space="0" w:color="auto"/>
          </w:divBdr>
        </w:div>
        <w:div w:id="650063343">
          <w:marLeft w:val="0"/>
          <w:marRight w:val="0"/>
          <w:marTop w:val="0"/>
          <w:marBottom w:val="0"/>
          <w:divBdr>
            <w:top w:val="none" w:sz="0" w:space="0" w:color="auto"/>
            <w:left w:val="none" w:sz="0" w:space="0" w:color="auto"/>
            <w:bottom w:val="none" w:sz="0" w:space="0" w:color="auto"/>
            <w:right w:val="none" w:sz="0" w:space="0" w:color="auto"/>
          </w:divBdr>
        </w:div>
        <w:div w:id="681396631">
          <w:marLeft w:val="0"/>
          <w:marRight w:val="0"/>
          <w:marTop w:val="0"/>
          <w:marBottom w:val="0"/>
          <w:divBdr>
            <w:top w:val="none" w:sz="0" w:space="0" w:color="auto"/>
            <w:left w:val="none" w:sz="0" w:space="0" w:color="auto"/>
            <w:bottom w:val="none" w:sz="0" w:space="0" w:color="auto"/>
            <w:right w:val="none" w:sz="0" w:space="0" w:color="auto"/>
          </w:divBdr>
        </w:div>
        <w:div w:id="743769184">
          <w:marLeft w:val="0"/>
          <w:marRight w:val="0"/>
          <w:marTop w:val="0"/>
          <w:marBottom w:val="0"/>
          <w:divBdr>
            <w:top w:val="none" w:sz="0" w:space="0" w:color="auto"/>
            <w:left w:val="none" w:sz="0" w:space="0" w:color="auto"/>
            <w:bottom w:val="none" w:sz="0" w:space="0" w:color="auto"/>
            <w:right w:val="none" w:sz="0" w:space="0" w:color="auto"/>
          </w:divBdr>
        </w:div>
        <w:div w:id="752432170">
          <w:marLeft w:val="0"/>
          <w:marRight w:val="0"/>
          <w:marTop w:val="0"/>
          <w:marBottom w:val="0"/>
          <w:divBdr>
            <w:top w:val="none" w:sz="0" w:space="0" w:color="auto"/>
            <w:left w:val="none" w:sz="0" w:space="0" w:color="auto"/>
            <w:bottom w:val="none" w:sz="0" w:space="0" w:color="auto"/>
            <w:right w:val="none" w:sz="0" w:space="0" w:color="auto"/>
          </w:divBdr>
        </w:div>
        <w:div w:id="758212241">
          <w:marLeft w:val="0"/>
          <w:marRight w:val="0"/>
          <w:marTop w:val="0"/>
          <w:marBottom w:val="0"/>
          <w:divBdr>
            <w:top w:val="none" w:sz="0" w:space="0" w:color="auto"/>
            <w:left w:val="none" w:sz="0" w:space="0" w:color="auto"/>
            <w:bottom w:val="none" w:sz="0" w:space="0" w:color="auto"/>
            <w:right w:val="none" w:sz="0" w:space="0" w:color="auto"/>
          </w:divBdr>
        </w:div>
        <w:div w:id="766122617">
          <w:marLeft w:val="0"/>
          <w:marRight w:val="0"/>
          <w:marTop w:val="0"/>
          <w:marBottom w:val="0"/>
          <w:divBdr>
            <w:top w:val="none" w:sz="0" w:space="0" w:color="auto"/>
            <w:left w:val="none" w:sz="0" w:space="0" w:color="auto"/>
            <w:bottom w:val="none" w:sz="0" w:space="0" w:color="auto"/>
            <w:right w:val="none" w:sz="0" w:space="0" w:color="auto"/>
          </w:divBdr>
        </w:div>
        <w:div w:id="783043239">
          <w:marLeft w:val="0"/>
          <w:marRight w:val="0"/>
          <w:marTop w:val="0"/>
          <w:marBottom w:val="0"/>
          <w:divBdr>
            <w:top w:val="none" w:sz="0" w:space="0" w:color="auto"/>
            <w:left w:val="none" w:sz="0" w:space="0" w:color="auto"/>
            <w:bottom w:val="none" w:sz="0" w:space="0" w:color="auto"/>
            <w:right w:val="none" w:sz="0" w:space="0" w:color="auto"/>
          </w:divBdr>
        </w:div>
        <w:div w:id="783503368">
          <w:marLeft w:val="0"/>
          <w:marRight w:val="0"/>
          <w:marTop w:val="0"/>
          <w:marBottom w:val="0"/>
          <w:divBdr>
            <w:top w:val="none" w:sz="0" w:space="0" w:color="auto"/>
            <w:left w:val="none" w:sz="0" w:space="0" w:color="auto"/>
            <w:bottom w:val="none" w:sz="0" w:space="0" w:color="auto"/>
            <w:right w:val="none" w:sz="0" w:space="0" w:color="auto"/>
          </w:divBdr>
        </w:div>
        <w:div w:id="929507566">
          <w:marLeft w:val="0"/>
          <w:marRight w:val="0"/>
          <w:marTop w:val="0"/>
          <w:marBottom w:val="0"/>
          <w:divBdr>
            <w:top w:val="none" w:sz="0" w:space="0" w:color="auto"/>
            <w:left w:val="none" w:sz="0" w:space="0" w:color="auto"/>
            <w:bottom w:val="none" w:sz="0" w:space="0" w:color="auto"/>
            <w:right w:val="none" w:sz="0" w:space="0" w:color="auto"/>
          </w:divBdr>
        </w:div>
        <w:div w:id="999965321">
          <w:marLeft w:val="0"/>
          <w:marRight w:val="0"/>
          <w:marTop w:val="0"/>
          <w:marBottom w:val="0"/>
          <w:divBdr>
            <w:top w:val="none" w:sz="0" w:space="0" w:color="auto"/>
            <w:left w:val="none" w:sz="0" w:space="0" w:color="auto"/>
            <w:bottom w:val="none" w:sz="0" w:space="0" w:color="auto"/>
            <w:right w:val="none" w:sz="0" w:space="0" w:color="auto"/>
          </w:divBdr>
        </w:div>
        <w:div w:id="1059404286">
          <w:marLeft w:val="0"/>
          <w:marRight w:val="0"/>
          <w:marTop w:val="0"/>
          <w:marBottom w:val="0"/>
          <w:divBdr>
            <w:top w:val="none" w:sz="0" w:space="0" w:color="auto"/>
            <w:left w:val="none" w:sz="0" w:space="0" w:color="auto"/>
            <w:bottom w:val="none" w:sz="0" w:space="0" w:color="auto"/>
            <w:right w:val="none" w:sz="0" w:space="0" w:color="auto"/>
          </w:divBdr>
        </w:div>
        <w:div w:id="1059746798">
          <w:marLeft w:val="0"/>
          <w:marRight w:val="0"/>
          <w:marTop w:val="0"/>
          <w:marBottom w:val="0"/>
          <w:divBdr>
            <w:top w:val="none" w:sz="0" w:space="0" w:color="auto"/>
            <w:left w:val="none" w:sz="0" w:space="0" w:color="auto"/>
            <w:bottom w:val="none" w:sz="0" w:space="0" w:color="auto"/>
            <w:right w:val="none" w:sz="0" w:space="0" w:color="auto"/>
          </w:divBdr>
        </w:div>
        <w:div w:id="1115169985">
          <w:marLeft w:val="0"/>
          <w:marRight w:val="0"/>
          <w:marTop w:val="0"/>
          <w:marBottom w:val="0"/>
          <w:divBdr>
            <w:top w:val="none" w:sz="0" w:space="0" w:color="auto"/>
            <w:left w:val="none" w:sz="0" w:space="0" w:color="auto"/>
            <w:bottom w:val="none" w:sz="0" w:space="0" w:color="auto"/>
            <w:right w:val="none" w:sz="0" w:space="0" w:color="auto"/>
          </w:divBdr>
        </w:div>
        <w:div w:id="1184398080">
          <w:marLeft w:val="0"/>
          <w:marRight w:val="0"/>
          <w:marTop w:val="0"/>
          <w:marBottom w:val="0"/>
          <w:divBdr>
            <w:top w:val="none" w:sz="0" w:space="0" w:color="auto"/>
            <w:left w:val="none" w:sz="0" w:space="0" w:color="auto"/>
            <w:bottom w:val="none" w:sz="0" w:space="0" w:color="auto"/>
            <w:right w:val="none" w:sz="0" w:space="0" w:color="auto"/>
          </w:divBdr>
        </w:div>
        <w:div w:id="1226840674">
          <w:marLeft w:val="0"/>
          <w:marRight w:val="0"/>
          <w:marTop w:val="0"/>
          <w:marBottom w:val="0"/>
          <w:divBdr>
            <w:top w:val="none" w:sz="0" w:space="0" w:color="auto"/>
            <w:left w:val="none" w:sz="0" w:space="0" w:color="auto"/>
            <w:bottom w:val="none" w:sz="0" w:space="0" w:color="auto"/>
            <w:right w:val="none" w:sz="0" w:space="0" w:color="auto"/>
          </w:divBdr>
        </w:div>
        <w:div w:id="1270897091">
          <w:marLeft w:val="0"/>
          <w:marRight w:val="0"/>
          <w:marTop w:val="0"/>
          <w:marBottom w:val="0"/>
          <w:divBdr>
            <w:top w:val="none" w:sz="0" w:space="0" w:color="auto"/>
            <w:left w:val="none" w:sz="0" w:space="0" w:color="auto"/>
            <w:bottom w:val="none" w:sz="0" w:space="0" w:color="auto"/>
            <w:right w:val="none" w:sz="0" w:space="0" w:color="auto"/>
          </w:divBdr>
        </w:div>
        <w:div w:id="1272474948">
          <w:marLeft w:val="0"/>
          <w:marRight w:val="0"/>
          <w:marTop w:val="0"/>
          <w:marBottom w:val="0"/>
          <w:divBdr>
            <w:top w:val="none" w:sz="0" w:space="0" w:color="auto"/>
            <w:left w:val="none" w:sz="0" w:space="0" w:color="auto"/>
            <w:bottom w:val="none" w:sz="0" w:space="0" w:color="auto"/>
            <w:right w:val="none" w:sz="0" w:space="0" w:color="auto"/>
          </w:divBdr>
        </w:div>
        <w:div w:id="1308973961">
          <w:marLeft w:val="0"/>
          <w:marRight w:val="0"/>
          <w:marTop w:val="0"/>
          <w:marBottom w:val="0"/>
          <w:divBdr>
            <w:top w:val="none" w:sz="0" w:space="0" w:color="auto"/>
            <w:left w:val="none" w:sz="0" w:space="0" w:color="auto"/>
            <w:bottom w:val="none" w:sz="0" w:space="0" w:color="auto"/>
            <w:right w:val="none" w:sz="0" w:space="0" w:color="auto"/>
          </w:divBdr>
        </w:div>
        <w:div w:id="1311328839">
          <w:marLeft w:val="0"/>
          <w:marRight w:val="0"/>
          <w:marTop w:val="0"/>
          <w:marBottom w:val="0"/>
          <w:divBdr>
            <w:top w:val="none" w:sz="0" w:space="0" w:color="auto"/>
            <w:left w:val="none" w:sz="0" w:space="0" w:color="auto"/>
            <w:bottom w:val="none" w:sz="0" w:space="0" w:color="auto"/>
            <w:right w:val="none" w:sz="0" w:space="0" w:color="auto"/>
          </w:divBdr>
        </w:div>
        <w:div w:id="1325889139">
          <w:marLeft w:val="0"/>
          <w:marRight w:val="0"/>
          <w:marTop w:val="0"/>
          <w:marBottom w:val="0"/>
          <w:divBdr>
            <w:top w:val="none" w:sz="0" w:space="0" w:color="auto"/>
            <w:left w:val="none" w:sz="0" w:space="0" w:color="auto"/>
            <w:bottom w:val="none" w:sz="0" w:space="0" w:color="auto"/>
            <w:right w:val="none" w:sz="0" w:space="0" w:color="auto"/>
          </w:divBdr>
        </w:div>
        <w:div w:id="1373772035">
          <w:marLeft w:val="0"/>
          <w:marRight w:val="0"/>
          <w:marTop w:val="0"/>
          <w:marBottom w:val="0"/>
          <w:divBdr>
            <w:top w:val="none" w:sz="0" w:space="0" w:color="auto"/>
            <w:left w:val="none" w:sz="0" w:space="0" w:color="auto"/>
            <w:bottom w:val="none" w:sz="0" w:space="0" w:color="auto"/>
            <w:right w:val="none" w:sz="0" w:space="0" w:color="auto"/>
          </w:divBdr>
        </w:div>
        <w:div w:id="1377777425">
          <w:marLeft w:val="0"/>
          <w:marRight w:val="0"/>
          <w:marTop w:val="0"/>
          <w:marBottom w:val="0"/>
          <w:divBdr>
            <w:top w:val="none" w:sz="0" w:space="0" w:color="auto"/>
            <w:left w:val="none" w:sz="0" w:space="0" w:color="auto"/>
            <w:bottom w:val="none" w:sz="0" w:space="0" w:color="auto"/>
            <w:right w:val="none" w:sz="0" w:space="0" w:color="auto"/>
          </w:divBdr>
        </w:div>
        <w:div w:id="1382745971">
          <w:marLeft w:val="0"/>
          <w:marRight w:val="0"/>
          <w:marTop w:val="0"/>
          <w:marBottom w:val="0"/>
          <w:divBdr>
            <w:top w:val="none" w:sz="0" w:space="0" w:color="auto"/>
            <w:left w:val="none" w:sz="0" w:space="0" w:color="auto"/>
            <w:bottom w:val="none" w:sz="0" w:space="0" w:color="auto"/>
            <w:right w:val="none" w:sz="0" w:space="0" w:color="auto"/>
          </w:divBdr>
        </w:div>
        <w:div w:id="1434548959">
          <w:marLeft w:val="0"/>
          <w:marRight w:val="0"/>
          <w:marTop w:val="0"/>
          <w:marBottom w:val="0"/>
          <w:divBdr>
            <w:top w:val="none" w:sz="0" w:space="0" w:color="auto"/>
            <w:left w:val="none" w:sz="0" w:space="0" w:color="auto"/>
            <w:bottom w:val="none" w:sz="0" w:space="0" w:color="auto"/>
            <w:right w:val="none" w:sz="0" w:space="0" w:color="auto"/>
          </w:divBdr>
        </w:div>
        <w:div w:id="1486820649">
          <w:marLeft w:val="0"/>
          <w:marRight w:val="0"/>
          <w:marTop w:val="0"/>
          <w:marBottom w:val="0"/>
          <w:divBdr>
            <w:top w:val="none" w:sz="0" w:space="0" w:color="auto"/>
            <w:left w:val="none" w:sz="0" w:space="0" w:color="auto"/>
            <w:bottom w:val="none" w:sz="0" w:space="0" w:color="auto"/>
            <w:right w:val="none" w:sz="0" w:space="0" w:color="auto"/>
          </w:divBdr>
        </w:div>
        <w:div w:id="1541674374">
          <w:marLeft w:val="0"/>
          <w:marRight w:val="0"/>
          <w:marTop w:val="0"/>
          <w:marBottom w:val="0"/>
          <w:divBdr>
            <w:top w:val="none" w:sz="0" w:space="0" w:color="auto"/>
            <w:left w:val="none" w:sz="0" w:space="0" w:color="auto"/>
            <w:bottom w:val="none" w:sz="0" w:space="0" w:color="auto"/>
            <w:right w:val="none" w:sz="0" w:space="0" w:color="auto"/>
          </w:divBdr>
        </w:div>
        <w:div w:id="1618681464">
          <w:marLeft w:val="0"/>
          <w:marRight w:val="0"/>
          <w:marTop w:val="0"/>
          <w:marBottom w:val="0"/>
          <w:divBdr>
            <w:top w:val="none" w:sz="0" w:space="0" w:color="auto"/>
            <w:left w:val="none" w:sz="0" w:space="0" w:color="auto"/>
            <w:bottom w:val="none" w:sz="0" w:space="0" w:color="auto"/>
            <w:right w:val="none" w:sz="0" w:space="0" w:color="auto"/>
          </w:divBdr>
        </w:div>
        <w:div w:id="1666781201">
          <w:marLeft w:val="0"/>
          <w:marRight w:val="0"/>
          <w:marTop w:val="0"/>
          <w:marBottom w:val="0"/>
          <w:divBdr>
            <w:top w:val="none" w:sz="0" w:space="0" w:color="auto"/>
            <w:left w:val="none" w:sz="0" w:space="0" w:color="auto"/>
            <w:bottom w:val="none" w:sz="0" w:space="0" w:color="auto"/>
            <w:right w:val="none" w:sz="0" w:space="0" w:color="auto"/>
          </w:divBdr>
        </w:div>
        <w:div w:id="1677003596">
          <w:marLeft w:val="0"/>
          <w:marRight w:val="0"/>
          <w:marTop w:val="0"/>
          <w:marBottom w:val="0"/>
          <w:divBdr>
            <w:top w:val="none" w:sz="0" w:space="0" w:color="auto"/>
            <w:left w:val="none" w:sz="0" w:space="0" w:color="auto"/>
            <w:bottom w:val="none" w:sz="0" w:space="0" w:color="auto"/>
            <w:right w:val="none" w:sz="0" w:space="0" w:color="auto"/>
          </w:divBdr>
        </w:div>
        <w:div w:id="1737363574">
          <w:marLeft w:val="0"/>
          <w:marRight w:val="0"/>
          <w:marTop w:val="0"/>
          <w:marBottom w:val="0"/>
          <w:divBdr>
            <w:top w:val="none" w:sz="0" w:space="0" w:color="auto"/>
            <w:left w:val="none" w:sz="0" w:space="0" w:color="auto"/>
            <w:bottom w:val="none" w:sz="0" w:space="0" w:color="auto"/>
            <w:right w:val="none" w:sz="0" w:space="0" w:color="auto"/>
          </w:divBdr>
        </w:div>
        <w:div w:id="1737363653">
          <w:marLeft w:val="0"/>
          <w:marRight w:val="0"/>
          <w:marTop w:val="0"/>
          <w:marBottom w:val="0"/>
          <w:divBdr>
            <w:top w:val="none" w:sz="0" w:space="0" w:color="auto"/>
            <w:left w:val="none" w:sz="0" w:space="0" w:color="auto"/>
            <w:bottom w:val="none" w:sz="0" w:space="0" w:color="auto"/>
            <w:right w:val="none" w:sz="0" w:space="0" w:color="auto"/>
          </w:divBdr>
        </w:div>
        <w:div w:id="1799569476">
          <w:marLeft w:val="0"/>
          <w:marRight w:val="0"/>
          <w:marTop w:val="0"/>
          <w:marBottom w:val="0"/>
          <w:divBdr>
            <w:top w:val="none" w:sz="0" w:space="0" w:color="auto"/>
            <w:left w:val="none" w:sz="0" w:space="0" w:color="auto"/>
            <w:bottom w:val="none" w:sz="0" w:space="0" w:color="auto"/>
            <w:right w:val="none" w:sz="0" w:space="0" w:color="auto"/>
          </w:divBdr>
        </w:div>
        <w:div w:id="1809005712">
          <w:marLeft w:val="0"/>
          <w:marRight w:val="0"/>
          <w:marTop w:val="0"/>
          <w:marBottom w:val="0"/>
          <w:divBdr>
            <w:top w:val="none" w:sz="0" w:space="0" w:color="auto"/>
            <w:left w:val="none" w:sz="0" w:space="0" w:color="auto"/>
            <w:bottom w:val="none" w:sz="0" w:space="0" w:color="auto"/>
            <w:right w:val="none" w:sz="0" w:space="0" w:color="auto"/>
          </w:divBdr>
        </w:div>
        <w:div w:id="1809591990">
          <w:marLeft w:val="0"/>
          <w:marRight w:val="0"/>
          <w:marTop w:val="0"/>
          <w:marBottom w:val="0"/>
          <w:divBdr>
            <w:top w:val="none" w:sz="0" w:space="0" w:color="auto"/>
            <w:left w:val="none" w:sz="0" w:space="0" w:color="auto"/>
            <w:bottom w:val="none" w:sz="0" w:space="0" w:color="auto"/>
            <w:right w:val="none" w:sz="0" w:space="0" w:color="auto"/>
          </w:divBdr>
        </w:div>
        <w:div w:id="1844199008">
          <w:marLeft w:val="0"/>
          <w:marRight w:val="0"/>
          <w:marTop w:val="0"/>
          <w:marBottom w:val="0"/>
          <w:divBdr>
            <w:top w:val="none" w:sz="0" w:space="0" w:color="auto"/>
            <w:left w:val="none" w:sz="0" w:space="0" w:color="auto"/>
            <w:bottom w:val="none" w:sz="0" w:space="0" w:color="auto"/>
            <w:right w:val="none" w:sz="0" w:space="0" w:color="auto"/>
          </w:divBdr>
        </w:div>
        <w:div w:id="1849059326">
          <w:marLeft w:val="0"/>
          <w:marRight w:val="0"/>
          <w:marTop w:val="0"/>
          <w:marBottom w:val="0"/>
          <w:divBdr>
            <w:top w:val="none" w:sz="0" w:space="0" w:color="auto"/>
            <w:left w:val="none" w:sz="0" w:space="0" w:color="auto"/>
            <w:bottom w:val="none" w:sz="0" w:space="0" w:color="auto"/>
            <w:right w:val="none" w:sz="0" w:space="0" w:color="auto"/>
          </w:divBdr>
        </w:div>
        <w:div w:id="1877229880">
          <w:marLeft w:val="0"/>
          <w:marRight w:val="0"/>
          <w:marTop w:val="0"/>
          <w:marBottom w:val="0"/>
          <w:divBdr>
            <w:top w:val="none" w:sz="0" w:space="0" w:color="auto"/>
            <w:left w:val="none" w:sz="0" w:space="0" w:color="auto"/>
            <w:bottom w:val="none" w:sz="0" w:space="0" w:color="auto"/>
            <w:right w:val="none" w:sz="0" w:space="0" w:color="auto"/>
          </w:divBdr>
        </w:div>
        <w:div w:id="1920551673">
          <w:marLeft w:val="0"/>
          <w:marRight w:val="0"/>
          <w:marTop w:val="0"/>
          <w:marBottom w:val="0"/>
          <w:divBdr>
            <w:top w:val="none" w:sz="0" w:space="0" w:color="auto"/>
            <w:left w:val="none" w:sz="0" w:space="0" w:color="auto"/>
            <w:bottom w:val="none" w:sz="0" w:space="0" w:color="auto"/>
            <w:right w:val="none" w:sz="0" w:space="0" w:color="auto"/>
          </w:divBdr>
        </w:div>
        <w:div w:id="1954284820">
          <w:marLeft w:val="0"/>
          <w:marRight w:val="0"/>
          <w:marTop w:val="0"/>
          <w:marBottom w:val="0"/>
          <w:divBdr>
            <w:top w:val="none" w:sz="0" w:space="0" w:color="auto"/>
            <w:left w:val="none" w:sz="0" w:space="0" w:color="auto"/>
            <w:bottom w:val="none" w:sz="0" w:space="0" w:color="auto"/>
            <w:right w:val="none" w:sz="0" w:space="0" w:color="auto"/>
          </w:divBdr>
        </w:div>
        <w:div w:id="1958638950">
          <w:marLeft w:val="0"/>
          <w:marRight w:val="0"/>
          <w:marTop w:val="0"/>
          <w:marBottom w:val="0"/>
          <w:divBdr>
            <w:top w:val="none" w:sz="0" w:space="0" w:color="auto"/>
            <w:left w:val="none" w:sz="0" w:space="0" w:color="auto"/>
            <w:bottom w:val="none" w:sz="0" w:space="0" w:color="auto"/>
            <w:right w:val="none" w:sz="0" w:space="0" w:color="auto"/>
          </w:divBdr>
        </w:div>
        <w:div w:id="2021539980">
          <w:marLeft w:val="0"/>
          <w:marRight w:val="0"/>
          <w:marTop w:val="0"/>
          <w:marBottom w:val="0"/>
          <w:divBdr>
            <w:top w:val="none" w:sz="0" w:space="0" w:color="auto"/>
            <w:left w:val="none" w:sz="0" w:space="0" w:color="auto"/>
            <w:bottom w:val="none" w:sz="0" w:space="0" w:color="auto"/>
            <w:right w:val="none" w:sz="0" w:space="0" w:color="auto"/>
          </w:divBdr>
        </w:div>
        <w:div w:id="2066027412">
          <w:marLeft w:val="0"/>
          <w:marRight w:val="0"/>
          <w:marTop w:val="0"/>
          <w:marBottom w:val="0"/>
          <w:divBdr>
            <w:top w:val="none" w:sz="0" w:space="0" w:color="auto"/>
            <w:left w:val="none" w:sz="0" w:space="0" w:color="auto"/>
            <w:bottom w:val="none" w:sz="0" w:space="0" w:color="auto"/>
            <w:right w:val="none" w:sz="0" w:space="0" w:color="auto"/>
          </w:divBdr>
        </w:div>
        <w:div w:id="2073960435">
          <w:marLeft w:val="0"/>
          <w:marRight w:val="0"/>
          <w:marTop w:val="0"/>
          <w:marBottom w:val="0"/>
          <w:divBdr>
            <w:top w:val="none" w:sz="0" w:space="0" w:color="auto"/>
            <w:left w:val="none" w:sz="0" w:space="0" w:color="auto"/>
            <w:bottom w:val="none" w:sz="0" w:space="0" w:color="auto"/>
            <w:right w:val="none" w:sz="0" w:space="0" w:color="auto"/>
          </w:divBdr>
        </w:div>
        <w:div w:id="2092463700">
          <w:marLeft w:val="0"/>
          <w:marRight w:val="0"/>
          <w:marTop w:val="0"/>
          <w:marBottom w:val="0"/>
          <w:divBdr>
            <w:top w:val="none" w:sz="0" w:space="0" w:color="auto"/>
            <w:left w:val="none" w:sz="0" w:space="0" w:color="auto"/>
            <w:bottom w:val="none" w:sz="0" w:space="0" w:color="auto"/>
            <w:right w:val="none" w:sz="0" w:space="0" w:color="auto"/>
          </w:divBdr>
        </w:div>
        <w:div w:id="2095546345">
          <w:marLeft w:val="0"/>
          <w:marRight w:val="0"/>
          <w:marTop w:val="0"/>
          <w:marBottom w:val="0"/>
          <w:divBdr>
            <w:top w:val="none" w:sz="0" w:space="0" w:color="auto"/>
            <w:left w:val="none" w:sz="0" w:space="0" w:color="auto"/>
            <w:bottom w:val="none" w:sz="0" w:space="0" w:color="auto"/>
            <w:right w:val="none" w:sz="0" w:space="0" w:color="auto"/>
          </w:divBdr>
        </w:div>
        <w:div w:id="2142917711">
          <w:marLeft w:val="0"/>
          <w:marRight w:val="0"/>
          <w:marTop w:val="0"/>
          <w:marBottom w:val="0"/>
          <w:divBdr>
            <w:top w:val="none" w:sz="0" w:space="0" w:color="auto"/>
            <w:left w:val="none" w:sz="0" w:space="0" w:color="auto"/>
            <w:bottom w:val="none" w:sz="0" w:space="0" w:color="auto"/>
            <w:right w:val="none" w:sz="0" w:space="0" w:color="auto"/>
          </w:divBdr>
        </w:div>
      </w:divsChild>
    </w:div>
    <w:div w:id="21402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image" Target="media/image16.svg"/><Relationship Id="rId21" Type="http://schemas.openxmlformats.org/officeDocument/2006/relationships/footer" Target="footer2.xml"/><Relationship Id="rId34" Type="http://schemas.openxmlformats.org/officeDocument/2006/relationships/image" Target="media/image11.png"/><Relationship Id="rId47" Type="http://schemas.openxmlformats.org/officeDocument/2006/relationships/image" Target="media/image20.sv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mc.gov.au/honours-and-symbols/commonwealth-coat-arms" TargetMode="External"/><Relationship Id="rId29" Type="http://schemas.openxmlformats.org/officeDocument/2006/relationships/image" Target="media/image6.sv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image" Target="media/image14.svg"/><Relationship Id="rId45" Type="http://schemas.openxmlformats.org/officeDocument/2006/relationships/image" Target="media/image18.png"/><Relationship Id="rId53" Type="http://schemas.openxmlformats.org/officeDocument/2006/relationships/image" Target="media/image26.sv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3.xml"/><Relationship Id="rId27" Type="http://schemas.openxmlformats.org/officeDocument/2006/relationships/image" Target="media/image4.svg"/><Relationship Id="rId30" Type="http://schemas.openxmlformats.org/officeDocument/2006/relationships/image" Target="media/image7.png"/><Relationship Id="rId35" Type="http://schemas.openxmlformats.org/officeDocument/2006/relationships/image" Target="media/image12.svg"/><Relationship Id="rId48" Type="http://schemas.openxmlformats.org/officeDocument/2006/relationships/image" Target="media/image21.png"/><Relationship Id="rId56" Type="http://schemas.openxmlformats.org/officeDocument/2006/relationships/image" Target="media/image28.sv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footer" Target="footer4.xml"/><Relationship Id="rId33" Type="http://schemas.openxmlformats.org/officeDocument/2006/relationships/image" Target="media/image10.sv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6.xml"/><Relationship Id="rId20" Type="http://schemas.openxmlformats.org/officeDocument/2006/relationships/footer" Target="footer1.xml"/><Relationship Id="rId54" Type="http://schemas.openxmlformats.org/officeDocument/2006/relationships/footer" Target="footer5.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sv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8.sv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7.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C5446CE13658B47B1F03A3BDED5C6D1" ma:contentTypeVersion="" ma:contentTypeDescription="PDMS Document Site Content Type" ma:contentTypeScope="" ma:versionID="a103ed26d00c2b50918f3818715baf30">
  <xsd:schema xmlns:xsd="http://www.w3.org/2001/XMLSchema" xmlns:xs="http://www.w3.org/2001/XMLSchema" xmlns:p="http://schemas.microsoft.com/office/2006/metadata/properties" xmlns:ns2="B50DB814-4D2D-4A12-AA49-51265D1276AF" targetNamespace="http://schemas.microsoft.com/office/2006/metadata/properties" ma:root="true" ma:fieldsID="8ce8c51f082e7e2e7408a90f45ea5e79" ns2:_="">
    <xsd:import namespace="B50DB814-4D2D-4A12-AA49-51265D1276A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DB814-4D2D-4A12-AA49-51265D1276A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B50DB814-4D2D-4A12-AA49-51265D1276AF">PROTECTED//CABINET</SecurityClassification>
  </documentManagement>
</p:properties>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2.xml><?xml version="1.0" encoding="utf-8"?>
<ds:datastoreItem xmlns:ds="http://schemas.openxmlformats.org/officeDocument/2006/customXml" ds:itemID="{CC6CE3F2-60D1-4B45-A2E5-827DA93DB705}">
  <ds:schemaRefs>
    <ds:schemaRef ds:uri="http://schemas.microsoft.com/sharepoint/v3/contenttype/forms"/>
  </ds:schemaRefs>
</ds:datastoreItem>
</file>

<file path=customXml/itemProps3.xml><?xml version="1.0" encoding="utf-8"?>
<ds:datastoreItem xmlns:ds="http://schemas.openxmlformats.org/officeDocument/2006/customXml" ds:itemID="{BD38C21E-D9CB-4342-9393-3C21BE580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DB814-4D2D-4A12-AA49-51265D127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D769C-9E26-4E80-810E-6EB2482449E9}">
  <ds:schemaRef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terms/"/>
    <ds:schemaRef ds:uri="B50DB814-4D2D-4A12-AA49-51265D1276A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7786</Words>
  <Characters>44682</Characters>
  <Application>Microsoft Office Word</Application>
  <DocSecurity>0</DocSecurity>
  <Lines>782</Lines>
  <Paragraphs>270</Paragraphs>
  <ScaleCrop>false</ScaleCrop>
  <HeadingPairs>
    <vt:vector size="2" baseType="variant">
      <vt:variant>
        <vt:lpstr>Title</vt:lpstr>
      </vt:variant>
      <vt:variant>
        <vt:i4>1</vt:i4>
      </vt:variant>
    </vt:vector>
  </HeadingPairs>
  <TitlesOfParts>
    <vt:vector size="1" baseType="lpstr">
      <vt:lpstr>Merger Reform Paper</vt:lpstr>
    </vt:vector>
  </TitlesOfParts>
  <Company>Australian Government - The Treasury</Company>
  <LinksUpToDate>false</LinksUpToDate>
  <CharactersWithSpaces>52285</CharactersWithSpaces>
  <SharedDoc>false</SharedDoc>
  <HLinks>
    <vt:vector size="144" baseType="variant">
      <vt:variant>
        <vt:i4>1441844</vt:i4>
      </vt:variant>
      <vt:variant>
        <vt:i4>127</vt:i4>
      </vt:variant>
      <vt:variant>
        <vt:i4>0</vt:i4>
      </vt:variant>
      <vt:variant>
        <vt:i4>5</vt:i4>
      </vt:variant>
      <vt:variant>
        <vt:lpwstr/>
      </vt:variant>
      <vt:variant>
        <vt:lpwstr>_Toc163224410</vt:lpwstr>
      </vt:variant>
      <vt:variant>
        <vt:i4>1507380</vt:i4>
      </vt:variant>
      <vt:variant>
        <vt:i4>121</vt:i4>
      </vt:variant>
      <vt:variant>
        <vt:i4>0</vt:i4>
      </vt:variant>
      <vt:variant>
        <vt:i4>5</vt:i4>
      </vt:variant>
      <vt:variant>
        <vt:lpwstr/>
      </vt:variant>
      <vt:variant>
        <vt:lpwstr>_Toc163224409</vt:lpwstr>
      </vt:variant>
      <vt:variant>
        <vt:i4>1507380</vt:i4>
      </vt:variant>
      <vt:variant>
        <vt:i4>115</vt:i4>
      </vt:variant>
      <vt:variant>
        <vt:i4>0</vt:i4>
      </vt:variant>
      <vt:variant>
        <vt:i4>5</vt:i4>
      </vt:variant>
      <vt:variant>
        <vt:lpwstr/>
      </vt:variant>
      <vt:variant>
        <vt:lpwstr>_Toc163224408</vt:lpwstr>
      </vt:variant>
      <vt:variant>
        <vt:i4>1507380</vt:i4>
      </vt:variant>
      <vt:variant>
        <vt:i4>109</vt:i4>
      </vt:variant>
      <vt:variant>
        <vt:i4>0</vt:i4>
      </vt:variant>
      <vt:variant>
        <vt:i4>5</vt:i4>
      </vt:variant>
      <vt:variant>
        <vt:lpwstr/>
      </vt:variant>
      <vt:variant>
        <vt:lpwstr>_Toc163224407</vt:lpwstr>
      </vt:variant>
      <vt:variant>
        <vt:i4>1507380</vt:i4>
      </vt:variant>
      <vt:variant>
        <vt:i4>103</vt:i4>
      </vt:variant>
      <vt:variant>
        <vt:i4>0</vt:i4>
      </vt:variant>
      <vt:variant>
        <vt:i4>5</vt:i4>
      </vt:variant>
      <vt:variant>
        <vt:lpwstr/>
      </vt:variant>
      <vt:variant>
        <vt:lpwstr>_Toc163224406</vt:lpwstr>
      </vt:variant>
      <vt:variant>
        <vt:i4>1507380</vt:i4>
      </vt:variant>
      <vt:variant>
        <vt:i4>97</vt:i4>
      </vt:variant>
      <vt:variant>
        <vt:i4>0</vt:i4>
      </vt:variant>
      <vt:variant>
        <vt:i4>5</vt:i4>
      </vt:variant>
      <vt:variant>
        <vt:lpwstr/>
      </vt:variant>
      <vt:variant>
        <vt:lpwstr>_Toc163224405</vt:lpwstr>
      </vt:variant>
      <vt:variant>
        <vt:i4>1507380</vt:i4>
      </vt:variant>
      <vt:variant>
        <vt:i4>91</vt:i4>
      </vt:variant>
      <vt:variant>
        <vt:i4>0</vt:i4>
      </vt:variant>
      <vt:variant>
        <vt:i4>5</vt:i4>
      </vt:variant>
      <vt:variant>
        <vt:lpwstr/>
      </vt:variant>
      <vt:variant>
        <vt:lpwstr>_Toc163224404</vt:lpwstr>
      </vt:variant>
      <vt:variant>
        <vt:i4>1507380</vt:i4>
      </vt:variant>
      <vt:variant>
        <vt:i4>85</vt:i4>
      </vt:variant>
      <vt:variant>
        <vt:i4>0</vt:i4>
      </vt:variant>
      <vt:variant>
        <vt:i4>5</vt:i4>
      </vt:variant>
      <vt:variant>
        <vt:lpwstr/>
      </vt:variant>
      <vt:variant>
        <vt:lpwstr>_Toc163224403</vt:lpwstr>
      </vt:variant>
      <vt:variant>
        <vt:i4>1507380</vt:i4>
      </vt:variant>
      <vt:variant>
        <vt:i4>79</vt:i4>
      </vt:variant>
      <vt:variant>
        <vt:i4>0</vt:i4>
      </vt:variant>
      <vt:variant>
        <vt:i4>5</vt:i4>
      </vt:variant>
      <vt:variant>
        <vt:lpwstr/>
      </vt:variant>
      <vt:variant>
        <vt:lpwstr>_Toc163224402</vt:lpwstr>
      </vt:variant>
      <vt:variant>
        <vt:i4>1507380</vt:i4>
      </vt:variant>
      <vt:variant>
        <vt:i4>73</vt:i4>
      </vt:variant>
      <vt:variant>
        <vt:i4>0</vt:i4>
      </vt:variant>
      <vt:variant>
        <vt:i4>5</vt:i4>
      </vt:variant>
      <vt:variant>
        <vt:lpwstr/>
      </vt:variant>
      <vt:variant>
        <vt:lpwstr>_Toc163224401</vt:lpwstr>
      </vt:variant>
      <vt:variant>
        <vt:i4>1507380</vt:i4>
      </vt:variant>
      <vt:variant>
        <vt:i4>67</vt:i4>
      </vt:variant>
      <vt:variant>
        <vt:i4>0</vt:i4>
      </vt:variant>
      <vt:variant>
        <vt:i4>5</vt:i4>
      </vt:variant>
      <vt:variant>
        <vt:lpwstr/>
      </vt:variant>
      <vt:variant>
        <vt:lpwstr>_Toc163224400</vt:lpwstr>
      </vt:variant>
      <vt:variant>
        <vt:i4>1966131</vt:i4>
      </vt:variant>
      <vt:variant>
        <vt:i4>61</vt:i4>
      </vt:variant>
      <vt:variant>
        <vt:i4>0</vt:i4>
      </vt:variant>
      <vt:variant>
        <vt:i4>5</vt:i4>
      </vt:variant>
      <vt:variant>
        <vt:lpwstr/>
      </vt:variant>
      <vt:variant>
        <vt:lpwstr>_Toc163224399</vt:lpwstr>
      </vt:variant>
      <vt:variant>
        <vt:i4>1966131</vt:i4>
      </vt:variant>
      <vt:variant>
        <vt:i4>55</vt:i4>
      </vt:variant>
      <vt:variant>
        <vt:i4>0</vt:i4>
      </vt:variant>
      <vt:variant>
        <vt:i4>5</vt:i4>
      </vt:variant>
      <vt:variant>
        <vt:lpwstr/>
      </vt:variant>
      <vt:variant>
        <vt:lpwstr>_Toc163224398</vt:lpwstr>
      </vt:variant>
      <vt:variant>
        <vt:i4>1966131</vt:i4>
      </vt:variant>
      <vt:variant>
        <vt:i4>49</vt:i4>
      </vt:variant>
      <vt:variant>
        <vt:i4>0</vt:i4>
      </vt:variant>
      <vt:variant>
        <vt:i4>5</vt:i4>
      </vt:variant>
      <vt:variant>
        <vt:lpwstr/>
      </vt:variant>
      <vt:variant>
        <vt:lpwstr>_Toc163224397</vt:lpwstr>
      </vt:variant>
      <vt:variant>
        <vt:i4>1966131</vt:i4>
      </vt:variant>
      <vt:variant>
        <vt:i4>43</vt:i4>
      </vt:variant>
      <vt:variant>
        <vt:i4>0</vt:i4>
      </vt:variant>
      <vt:variant>
        <vt:i4>5</vt:i4>
      </vt:variant>
      <vt:variant>
        <vt:lpwstr/>
      </vt:variant>
      <vt:variant>
        <vt:lpwstr>_Toc163224396</vt:lpwstr>
      </vt:variant>
      <vt:variant>
        <vt:i4>1966131</vt:i4>
      </vt:variant>
      <vt:variant>
        <vt:i4>37</vt:i4>
      </vt:variant>
      <vt:variant>
        <vt:i4>0</vt:i4>
      </vt:variant>
      <vt:variant>
        <vt:i4>5</vt:i4>
      </vt:variant>
      <vt:variant>
        <vt:lpwstr/>
      </vt:variant>
      <vt:variant>
        <vt:lpwstr>_Toc163224395</vt:lpwstr>
      </vt:variant>
      <vt:variant>
        <vt:i4>1966131</vt:i4>
      </vt:variant>
      <vt:variant>
        <vt:i4>31</vt:i4>
      </vt:variant>
      <vt:variant>
        <vt:i4>0</vt:i4>
      </vt:variant>
      <vt:variant>
        <vt:i4>5</vt:i4>
      </vt:variant>
      <vt:variant>
        <vt:lpwstr/>
      </vt:variant>
      <vt:variant>
        <vt:lpwstr>_Toc163224394</vt:lpwstr>
      </vt:variant>
      <vt:variant>
        <vt:i4>1966131</vt:i4>
      </vt:variant>
      <vt:variant>
        <vt:i4>25</vt:i4>
      </vt:variant>
      <vt:variant>
        <vt:i4>0</vt:i4>
      </vt:variant>
      <vt:variant>
        <vt:i4>5</vt:i4>
      </vt:variant>
      <vt:variant>
        <vt:lpwstr/>
      </vt:variant>
      <vt:variant>
        <vt:lpwstr>_Toc163224393</vt:lpwstr>
      </vt:variant>
      <vt:variant>
        <vt:i4>1966131</vt:i4>
      </vt:variant>
      <vt:variant>
        <vt:i4>19</vt:i4>
      </vt:variant>
      <vt:variant>
        <vt:i4>0</vt:i4>
      </vt:variant>
      <vt:variant>
        <vt:i4>5</vt:i4>
      </vt:variant>
      <vt:variant>
        <vt:lpwstr/>
      </vt:variant>
      <vt:variant>
        <vt:lpwstr>_Toc163224392</vt:lpwstr>
      </vt:variant>
      <vt:variant>
        <vt:i4>105</vt:i4>
      </vt:variant>
      <vt:variant>
        <vt:i4>14</vt:i4>
      </vt:variant>
      <vt:variant>
        <vt:i4>0</vt:i4>
      </vt:variant>
      <vt:variant>
        <vt:i4>5</vt:i4>
      </vt:variant>
      <vt:variant>
        <vt:lpwstr>mailto:media@treasury.gov.au</vt:lpwstr>
      </vt:variant>
      <vt:variant>
        <vt:lpwstr/>
      </vt:variant>
      <vt:variant>
        <vt:i4>65560</vt:i4>
      </vt:variant>
      <vt:variant>
        <vt:i4>11</vt:i4>
      </vt:variant>
      <vt:variant>
        <vt:i4>0</vt:i4>
      </vt:variant>
      <vt:variant>
        <vt:i4>5</vt:i4>
      </vt:variant>
      <vt:variant>
        <vt:lpwstr>https://www.pmc.gov.au/honours-and-symbols/commonwealth-coat-arms</vt:lpwstr>
      </vt:variant>
      <vt:variant>
        <vt:lpwstr/>
      </vt:variant>
      <vt:variant>
        <vt:i4>5111827</vt:i4>
      </vt:variant>
      <vt:variant>
        <vt:i4>8</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2</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Merger Reform Paper</dc:title>
  <dc:subject/>
  <dc:creator>Australian Government</dc:creator>
  <cp:keywords/>
  <cp:lastModifiedBy>Keogh, Vicky</cp:lastModifiedBy>
  <cp:revision>10</cp:revision>
  <cp:lastPrinted>2024-02-19T22:26:00Z</cp:lastPrinted>
  <dcterms:created xsi:type="dcterms:W3CDTF">2024-04-09T01:01:00Z</dcterms:created>
  <dcterms:modified xsi:type="dcterms:W3CDTF">2024-04-09T05:25:00Z</dcterms:modified>
</cp:coreProperties>
</file>